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69C54" w14:textId="77777777" w:rsidR="00BE152E" w:rsidRPr="007D103B" w:rsidRDefault="007D0234">
      <w:pPr>
        <w:rPr>
          <w:rStyle w:val="IntenseReference"/>
        </w:rPr>
      </w:pPr>
      <w:bookmarkStart w:id="0" w:name="_GoBack"/>
      <w:bookmarkEnd w:id="0"/>
      <w:r w:rsidRPr="007D103B">
        <w:rPr>
          <w:rStyle w:val="IntenseReference"/>
        </w:rPr>
        <w:t>MISES EN SITUATION</w:t>
      </w:r>
      <w:r w:rsidR="008A4014" w:rsidRPr="007D103B">
        <w:rPr>
          <w:rStyle w:val="IntenseReference"/>
        </w:rPr>
        <w:t xml:space="preserve"> </w:t>
      </w:r>
      <w:r w:rsidRPr="007D103B">
        <w:rPr>
          <w:rStyle w:val="IntenseReference"/>
        </w:rPr>
        <w:t>à des fins de discussion et de réflexion</w:t>
      </w:r>
    </w:p>
    <w:p w14:paraId="1B983F6C" w14:textId="22FC6EBD" w:rsidR="00DB0A75" w:rsidRPr="007D103B" w:rsidRDefault="007D0234" w:rsidP="004226DF">
      <w:pPr>
        <w:spacing w:before="240"/>
        <w:rPr>
          <w:rStyle w:val="SubtleReference"/>
        </w:rPr>
      </w:pPr>
      <w:r w:rsidRPr="007D103B">
        <w:rPr>
          <w:rStyle w:val="SubtleReference"/>
        </w:rPr>
        <w:t>OBJECTIF</w:t>
      </w:r>
      <w:r w:rsidR="00562302" w:rsidRPr="007D103B">
        <w:rPr>
          <w:rStyle w:val="SubtleReference"/>
        </w:rPr>
        <w:t>S</w:t>
      </w:r>
      <w:r w:rsidRPr="007D103B">
        <w:rPr>
          <w:rStyle w:val="SubtleReference"/>
        </w:rPr>
        <w:t> </w:t>
      </w:r>
      <w:r w:rsidR="008A4014" w:rsidRPr="007D103B">
        <w:rPr>
          <w:rStyle w:val="SubtleReference"/>
        </w:rPr>
        <w:t xml:space="preserve">: </w:t>
      </w:r>
      <w:r w:rsidRPr="007D103B">
        <w:rPr>
          <w:rStyle w:val="SubtleReference"/>
        </w:rPr>
        <w:t>Montrer le genre de problèmes d’équité qui se présentent dans le domaine de la santé publique environnementale. Encourager l</w:t>
      </w:r>
      <w:r w:rsidR="00421E68" w:rsidRPr="007D103B">
        <w:rPr>
          <w:rStyle w:val="SubtleReference"/>
        </w:rPr>
        <w:t xml:space="preserve">a </w:t>
      </w:r>
      <w:r w:rsidRPr="007D103B">
        <w:rPr>
          <w:rStyle w:val="SubtleReference"/>
        </w:rPr>
        <w:t>réflexion et le développement d</w:t>
      </w:r>
      <w:r w:rsidR="00562302" w:rsidRPr="007D103B">
        <w:rPr>
          <w:rStyle w:val="SubtleReference"/>
        </w:rPr>
        <w:t>e</w:t>
      </w:r>
      <w:r w:rsidRPr="007D103B">
        <w:rPr>
          <w:rStyle w:val="SubtleReference"/>
        </w:rPr>
        <w:t xml:space="preserve"> nouvelle</w:t>
      </w:r>
      <w:r w:rsidR="00562302" w:rsidRPr="007D103B">
        <w:rPr>
          <w:rStyle w:val="SubtleReference"/>
        </w:rPr>
        <w:t>s</w:t>
      </w:r>
      <w:r w:rsidRPr="007D103B">
        <w:rPr>
          <w:rStyle w:val="SubtleReference"/>
        </w:rPr>
        <w:t xml:space="preserve"> façon</w:t>
      </w:r>
      <w:r w:rsidR="00562302" w:rsidRPr="007D103B">
        <w:rPr>
          <w:rStyle w:val="SubtleReference"/>
        </w:rPr>
        <w:t>s</w:t>
      </w:r>
      <w:r w:rsidRPr="007D103B">
        <w:rPr>
          <w:rStyle w:val="SubtleReference"/>
        </w:rPr>
        <w:t xml:space="preserve"> d</w:t>
      </w:r>
      <w:r w:rsidR="00562302" w:rsidRPr="007D103B">
        <w:rPr>
          <w:rStyle w:val="SubtleReference"/>
        </w:rPr>
        <w:t>’</w:t>
      </w:r>
      <w:r w:rsidRPr="007D103B">
        <w:rPr>
          <w:rStyle w:val="SubtleReference"/>
        </w:rPr>
        <w:t>e</w:t>
      </w:r>
      <w:r w:rsidR="00562302" w:rsidRPr="007D103B">
        <w:rPr>
          <w:rStyle w:val="SubtleReference"/>
        </w:rPr>
        <w:t>nvisager</w:t>
      </w:r>
      <w:r w:rsidRPr="007D103B">
        <w:rPr>
          <w:rStyle w:val="SubtleReference"/>
        </w:rPr>
        <w:t xml:space="preserve"> ces problèmes.</w:t>
      </w:r>
    </w:p>
    <w:p w14:paraId="3AC5E448" w14:textId="68099204" w:rsidR="00BF616C" w:rsidRPr="007D103B" w:rsidRDefault="007D0234" w:rsidP="004226DF">
      <w:pPr>
        <w:spacing w:before="240"/>
        <w:rPr>
          <w:rFonts w:cs="Myriad-Roman"/>
          <w:bCs/>
        </w:rPr>
      </w:pPr>
      <w:r w:rsidRPr="007D103B">
        <w:rPr>
          <w:bCs/>
        </w:rPr>
        <w:t>Les mises en situation qui suivent sont conçues pour montrer le genre de problèmes d’équité qui se présentent dans le domaine de la santé publique environnementale et pour encourager l</w:t>
      </w:r>
      <w:r w:rsidR="00421E68" w:rsidRPr="007D103B">
        <w:rPr>
          <w:bCs/>
        </w:rPr>
        <w:t xml:space="preserve">a </w:t>
      </w:r>
      <w:r w:rsidRPr="007D103B">
        <w:rPr>
          <w:bCs/>
        </w:rPr>
        <w:t>réflexion et le développement d</w:t>
      </w:r>
      <w:r w:rsidR="00650775" w:rsidRPr="007D103B">
        <w:rPr>
          <w:bCs/>
        </w:rPr>
        <w:t>e</w:t>
      </w:r>
      <w:r w:rsidRPr="007D103B">
        <w:rPr>
          <w:bCs/>
        </w:rPr>
        <w:t xml:space="preserve"> nouvelle</w:t>
      </w:r>
      <w:r w:rsidR="00650775" w:rsidRPr="007D103B">
        <w:rPr>
          <w:bCs/>
        </w:rPr>
        <w:t>s</w:t>
      </w:r>
      <w:r w:rsidRPr="007D103B">
        <w:rPr>
          <w:bCs/>
        </w:rPr>
        <w:t xml:space="preserve"> </w:t>
      </w:r>
      <w:r w:rsidR="00650775" w:rsidRPr="007D103B">
        <w:rPr>
          <w:bCs/>
        </w:rPr>
        <w:t xml:space="preserve">façons </w:t>
      </w:r>
      <w:r w:rsidRPr="007D103B">
        <w:rPr>
          <w:bCs/>
        </w:rPr>
        <w:t>d</w:t>
      </w:r>
      <w:r w:rsidR="00650775" w:rsidRPr="007D103B">
        <w:rPr>
          <w:bCs/>
        </w:rPr>
        <w:t>’envisager</w:t>
      </w:r>
      <w:r w:rsidRPr="007D103B">
        <w:rPr>
          <w:bCs/>
        </w:rPr>
        <w:t xml:space="preserve"> ces problèmes. </w:t>
      </w:r>
      <w:r w:rsidR="00B32682" w:rsidRPr="007D103B">
        <w:rPr>
          <w:bCs/>
        </w:rPr>
        <w:t xml:space="preserve">Présentant les recoupements entre </w:t>
      </w:r>
      <w:r w:rsidRPr="007D103B">
        <w:rPr>
          <w:bCs/>
        </w:rPr>
        <w:t>santé publique environnement</w:t>
      </w:r>
      <w:r w:rsidR="00A36D3A" w:rsidRPr="007D103B">
        <w:rPr>
          <w:bCs/>
        </w:rPr>
        <w:t>ale</w:t>
      </w:r>
      <w:r w:rsidRPr="007D103B">
        <w:rPr>
          <w:bCs/>
        </w:rPr>
        <w:t xml:space="preserve"> et équité en santé, </w:t>
      </w:r>
      <w:r w:rsidR="00062574" w:rsidRPr="007D103B">
        <w:rPr>
          <w:bCs/>
        </w:rPr>
        <w:t xml:space="preserve">elles </w:t>
      </w:r>
      <w:r w:rsidR="001D3963" w:rsidRPr="007D103B">
        <w:rPr>
          <w:bCs/>
        </w:rPr>
        <w:t xml:space="preserve">servent aussi à </w:t>
      </w:r>
      <w:r w:rsidR="00062574" w:rsidRPr="007D103B">
        <w:rPr>
          <w:bCs/>
        </w:rPr>
        <w:t>illustre</w:t>
      </w:r>
      <w:r w:rsidR="001D3963" w:rsidRPr="007D103B">
        <w:rPr>
          <w:bCs/>
        </w:rPr>
        <w:t>r</w:t>
      </w:r>
      <w:r w:rsidRPr="007D103B">
        <w:rPr>
          <w:bCs/>
        </w:rPr>
        <w:t xml:space="preserve"> certaines pratiques prometteuses </w:t>
      </w:r>
      <w:r w:rsidR="00A36D3A" w:rsidRPr="007D103B">
        <w:rPr>
          <w:bCs/>
        </w:rPr>
        <w:t>ainsi</w:t>
      </w:r>
      <w:r w:rsidRPr="007D103B">
        <w:rPr>
          <w:bCs/>
        </w:rPr>
        <w:t xml:space="preserve"> </w:t>
      </w:r>
      <w:r w:rsidR="00A36D3A" w:rsidRPr="007D103B">
        <w:rPr>
          <w:bCs/>
        </w:rPr>
        <w:t>des méthodes que peut adopter le</w:t>
      </w:r>
      <w:r w:rsidRPr="007D103B">
        <w:rPr>
          <w:bCs/>
        </w:rPr>
        <w:t xml:space="preserve"> personnel p</w:t>
      </w:r>
      <w:r w:rsidR="00A36D3A" w:rsidRPr="007D103B">
        <w:rPr>
          <w:bCs/>
        </w:rPr>
        <w:t>our</w:t>
      </w:r>
      <w:r w:rsidRPr="007D103B">
        <w:rPr>
          <w:bCs/>
        </w:rPr>
        <w:t xml:space="preserve"> s’investir dans la question des déterminants sociaux de la santé et d</w:t>
      </w:r>
      <w:r w:rsidR="002A61F8" w:rsidRPr="007D103B">
        <w:rPr>
          <w:bCs/>
        </w:rPr>
        <w:t>ans</w:t>
      </w:r>
      <w:r w:rsidRPr="007D103B">
        <w:rPr>
          <w:bCs/>
        </w:rPr>
        <w:t xml:space="preserve"> l’équité en santé.</w:t>
      </w:r>
    </w:p>
    <w:p w14:paraId="54D37406" w14:textId="3EEAACFA" w:rsidR="00BF616C" w:rsidRPr="007D103B" w:rsidRDefault="007D0234" w:rsidP="00BF616C">
      <w:pPr>
        <w:rPr>
          <w:rFonts w:cs="Myriad-Roman"/>
          <w:bCs/>
        </w:rPr>
      </w:pPr>
      <w:r w:rsidRPr="007D103B">
        <w:rPr>
          <w:rFonts w:cs="Myriad-Roman"/>
          <w:bCs/>
        </w:rPr>
        <w:t xml:space="preserve">Vous pouvez utiliser les mises en situation </w:t>
      </w:r>
      <w:r w:rsidR="00FB2079" w:rsidRPr="007D103B">
        <w:rPr>
          <w:rFonts w:cs="Myriad-Roman"/>
          <w:bCs/>
        </w:rPr>
        <w:t>ci-dessous ou</w:t>
      </w:r>
      <w:r w:rsidRPr="007D103B">
        <w:rPr>
          <w:rFonts w:cs="Myriad-Roman"/>
          <w:bCs/>
        </w:rPr>
        <w:t xml:space="preserve"> </w:t>
      </w:r>
      <w:r w:rsidR="00111F52" w:rsidRPr="007D103B">
        <w:rPr>
          <w:rFonts w:cs="Myriad-Roman"/>
          <w:bCs/>
        </w:rPr>
        <w:t xml:space="preserve">créer les vôtres. Il </w:t>
      </w:r>
      <w:r w:rsidR="00A36D3A" w:rsidRPr="007D103B">
        <w:rPr>
          <w:rFonts w:cs="Myriad-Roman"/>
          <w:bCs/>
        </w:rPr>
        <w:t xml:space="preserve">est recommandé de </w:t>
      </w:r>
      <w:r w:rsidR="00111F52" w:rsidRPr="007D103B">
        <w:rPr>
          <w:rFonts w:cs="Myriad-Roman"/>
          <w:bCs/>
        </w:rPr>
        <w:t xml:space="preserve">copier le texte </w:t>
      </w:r>
      <w:r w:rsidR="000474DC" w:rsidRPr="007D103B">
        <w:rPr>
          <w:rFonts w:cs="Myriad-Roman"/>
          <w:bCs/>
        </w:rPr>
        <w:t xml:space="preserve">de chacune </w:t>
      </w:r>
      <w:r w:rsidR="00111F52" w:rsidRPr="007D103B">
        <w:rPr>
          <w:rFonts w:cs="Myriad-Roman"/>
          <w:bCs/>
        </w:rPr>
        <w:t xml:space="preserve">sur des pages séparées pour les imprimer en gros caractères </w:t>
      </w:r>
      <w:r w:rsidR="00F168FF" w:rsidRPr="007D103B">
        <w:rPr>
          <w:rFonts w:cs="Myriad-Roman"/>
          <w:bCs/>
        </w:rPr>
        <w:t>puis</w:t>
      </w:r>
      <w:r w:rsidR="00111F52" w:rsidRPr="007D103B">
        <w:rPr>
          <w:rFonts w:cs="Myriad-Roman"/>
          <w:bCs/>
        </w:rPr>
        <w:t xml:space="preserve"> les </w:t>
      </w:r>
      <w:r w:rsidR="001D3963" w:rsidRPr="007D103B">
        <w:rPr>
          <w:rFonts w:cs="Myriad-Roman"/>
          <w:bCs/>
        </w:rPr>
        <w:t>laisser sur les</w:t>
      </w:r>
      <w:r w:rsidR="00111F52" w:rsidRPr="007D103B">
        <w:rPr>
          <w:rFonts w:cs="Myriad-Roman"/>
          <w:bCs/>
        </w:rPr>
        <w:t xml:space="preserve"> tables ou </w:t>
      </w:r>
      <w:r w:rsidR="001D3963" w:rsidRPr="007D103B">
        <w:rPr>
          <w:rFonts w:cs="Myriad-Roman"/>
          <w:bCs/>
        </w:rPr>
        <w:t xml:space="preserve">les afficher </w:t>
      </w:r>
      <w:r w:rsidR="00A36D3A" w:rsidRPr="007D103B">
        <w:rPr>
          <w:rFonts w:cs="Myriad-Roman"/>
          <w:bCs/>
        </w:rPr>
        <w:t>au mur</w:t>
      </w:r>
      <w:r w:rsidR="00111F52" w:rsidRPr="007D103B">
        <w:rPr>
          <w:rFonts w:cs="Myriad-Roman"/>
          <w:bCs/>
        </w:rPr>
        <w:t>.</w:t>
      </w:r>
    </w:p>
    <w:p w14:paraId="4F16EA2A" w14:textId="741A9913" w:rsidR="00D95E00" w:rsidRPr="007D103B" w:rsidRDefault="008A4014" w:rsidP="00BF616C">
      <w:pPr>
        <w:spacing w:before="240"/>
        <w:rPr>
          <w:bCs/>
        </w:rPr>
      </w:pPr>
      <w:r w:rsidRPr="007D103B">
        <w:rPr>
          <w:rStyle w:val="SubtleReference"/>
        </w:rPr>
        <w:t>Format</w:t>
      </w:r>
      <w:r w:rsidR="00111F52" w:rsidRPr="007D103B">
        <w:rPr>
          <w:rStyle w:val="SubtleReference"/>
        </w:rPr>
        <w:t> </w:t>
      </w:r>
      <w:r w:rsidRPr="007D103B">
        <w:rPr>
          <w:rStyle w:val="SubtleReference"/>
        </w:rPr>
        <w:t>A</w:t>
      </w:r>
      <w:r w:rsidR="00111F52" w:rsidRPr="007D103B">
        <w:rPr>
          <w:rStyle w:val="SubtleReference"/>
        </w:rPr>
        <w:t> </w:t>
      </w:r>
      <w:r w:rsidRPr="007D103B">
        <w:rPr>
          <w:rStyle w:val="SubtleReference"/>
        </w:rPr>
        <w:t xml:space="preserve">: </w:t>
      </w:r>
      <w:r w:rsidR="00111F52" w:rsidRPr="007D103B">
        <w:rPr>
          <w:rStyle w:val="SubtleReference"/>
        </w:rPr>
        <w:t>Discussion en petits groupes</w:t>
      </w:r>
      <w:r w:rsidRPr="007D103B">
        <w:rPr>
          <w:rStyle w:val="SubtleReference"/>
        </w:rPr>
        <w:t xml:space="preserve">. </w:t>
      </w:r>
      <w:r w:rsidR="00111F52" w:rsidRPr="007D103B">
        <w:rPr>
          <w:bCs/>
        </w:rPr>
        <w:t xml:space="preserve">Chaque groupe ou chaque table reçoit </w:t>
      </w:r>
      <w:r w:rsidR="00A36D3A" w:rsidRPr="007D103B">
        <w:rPr>
          <w:bCs/>
        </w:rPr>
        <w:t>les</w:t>
      </w:r>
      <w:r w:rsidR="00111F52" w:rsidRPr="007D103B">
        <w:rPr>
          <w:bCs/>
        </w:rPr>
        <w:t xml:space="preserve"> mises en situation. Du temps est alloué </w:t>
      </w:r>
      <w:r w:rsidR="00A36D3A" w:rsidRPr="007D103B">
        <w:rPr>
          <w:bCs/>
        </w:rPr>
        <w:t>à</w:t>
      </w:r>
      <w:r w:rsidR="00111F52" w:rsidRPr="007D103B">
        <w:rPr>
          <w:bCs/>
        </w:rPr>
        <w:t xml:space="preserve"> la lecture et la discussion (</w:t>
      </w:r>
      <w:r w:rsidR="00A36D3A" w:rsidRPr="007D103B">
        <w:rPr>
          <w:bCs/>
        </w:rPr>
        <w:t xml:space="preserve">10 à </w:t>
      </w:r>
      <w:r w:rsidR="00111F52" w:rsidRPr="007D103B">
        <w:rPr>
          <w:bCs/>
        </w:rPr>
        <w:t>20 minutes). Fai</w:t>
      </w:r>
      <w:r w:rsidR="00A36D3A" w:rsidRPr="007D103B">
        <w:rPr>
          <w:bCs/>
        </w:rPr>
        <w:t>re</w:t>
      </w:r>
      <w:r w:rsidR="00111F52" w:rsidRPr="007D103B">
        <w:rPr>
          <w:bCs/>
        </w:rPr>
        <w:t xml:space="preserve"> suivre d’une période de questions.</w:t>
      </w:r>
    </w:p>
    <w:p w14:paraId="3D221AE2" w14:textId="366953CD" w:rsidR="00BF616C" w:rsidRPr="007D103B" w:rsidRDefault="008A4014" w:rsidP="00BF616C">
      <w:pPr>
        <w:spacing w:before="240"/>
        <w:rPr>
          <w:smallCaps/>
          <w:color w:val="5A5A5A" w:themeColor="text1" w:themeTint="A5"/>
        </w:rPr>
      </w:pPr>
      <w:r w:rsidRPr="007D103B">
        <w:rPr>
          <w:smallCaps/>
          <w:color w:val="5A5A5A" w:themeColor="text1" w:themeTint="A5"/>
        </w:rPr>
        <w:t>Format</w:t>
      </w:r>
      <w:r w:rsidR="00111F52" w:rsidRPr="007D103B">
        <w:rPr>
          <w:smallCaps/>
          <w:color w:val="5A5A5A" w:themeColor="text1" w:themeTint="A5"/>
        </w:rPr>
        <w:t> </w:t>
      </w:r>
      <w:r w:rsidRPr="007D103B">
        <w:rPr>
          <w:smallCaps/>
          <w:color w:val="5A5A5A" w:themeColor="text1" w:themeTint="A5"/>
        </w:rPr>
        <w:t>B</w:t>
      </w:r>
      <w:r w:rsidR="00111F52" w:rsidRPr="007D103B">
        <w:rPr>
          <w:smallCaps/>
          <w:color w:val="5A5A5A" w:themeColor="text1" w:themeTint="A5"/>
        </w:rPr>
        <w:t> </w:t>
      </w:r>
      <w:r w:rsidRPr="007D103B">
        <w:rPr>
          <w:smallCaps/>
          <w:color w:val="5A5A5A" w:themeColor="text1" w:themeTint="A5"/>
        </w:rPr>
        <w:t xml:space="preserve">: </w:t>
      </w:r>
      <w:r w:rsidR="00111F52" w:rsidRPr="007D103B">
        <w:rPr>
          <w:smallCaps/>
          <w:color w:val="5A5A5A" w:themeColor="text1" w:themeTint="A5"/>
        </w:rPr>
        <w:t xml:space="preserve">Réflexion </w:t>
      </w:r>
      <w:r w:rsidR="00D9210E" w:rsidRPr="007D103B">
        <w:rPr>
          <w:smallCaps/>
          <w:color w:val="5A5A5A" w:themeColor="text1" w:themeTint="A5"/>
        </w:rPr>
        <w:t>individu</w:t>
      </w:r>
      <w:r w:rsidR="00111F52" w:rsidRPr="007D103B">
        <w:rPr>
          <w:smallCaps/>
          <w:color w:val="5A5A5A" w:themeColor="text1" w:themeTint="A5"/>
        </w:rPr>
        <w:t xml:space="preserve">elle et discussion en </w:t>
      </w:r>
      <w:r w:rsidR="00D9210E" w:rsidRPr="007D103B">
        <w:rPr>
          <w:smallCaps/>
          <w:color w:val="5A5A5A" w:themeColor="text1" w:themeTint="A5"/>
        </w:rPr>
        <w:t xml:space="preserve">grand </w:t>
      </w:r>
      <w:r w:rsidR="00111F52" w:rsidRPr="007D103B">
        <w:rPr>
          <w:smallCaps/>
          <w:color w:val="5A5A5A" w:themeColor="text1" w:themeTint="A5"/>
        </w:rPr>
        <w:t>groupe</w:t>
      </w:r>
      <w:r w:rsidRPr="007D103B">
        <w:rPr>
          <w:smallCaps/>
          <w:color w:val="5A5A5A" w:themeColor="text1" w:themeTint="A5"/>
        </w:rPr>
        <w:t xml:space="preserve">. </w:t>
      </w:r>
      <w:r w:rsidR="00111F52" w:rsidRPr="007D103B">
        <w:rPr>
          <w:bCs/>
        </w:rPr>
        <w:t>Les p</w:t>
      </w:r>
      <w:r w:rsidRPr="007D103B">
        <w:rPr>
          <w:bCs/>
        </w:rPr>
        <w:t xml:space="preserve">articipants </w:t>
      </w:r>
      <w:r w:rsidR="00111F52" w:rsidRPr="007D103B">
        <w:rPr>
          <w:bCs/>
        </w:rPr>
        <w:t xml:space="preserve">sont invités </w:t>
      </w:r>
      <w:r w:rsidR="0058016F" w:rsidRPr="007D103B">
        <w:rPr>
          <w:bCs/>
        </w:rPr>
        <w:t xml:space="preserve">à </w:t>
      </w:r>
      <w:r w:rsidR="00D9210E" w:rsidRPr="007D103B">
        <w:rPr>
          <w:bCs/>
        </w:rPr>
        <w:t>aller</w:t>
      </w:r>
      <w:r w:rsidR="00111F52" w:rsidRPr="007D103B">
        <w:rPr>
          <w:bCs/>
        </w:rPr>
        <w:t xml:space="preserve"> découvrir </w:t>
      </w:r>
      <w:r w:rsidR="00D9210E" w:rsidRPr="007D103B">
        <w:rPr>
          <w:bCs/>
        </w:rPr>
        <w:t xml:space="preserve">seuls </w:t>
      </w:r>
      <w:r w:rsidR="00111F52" w:rsidRPr="007D103B">
        <w:rPr>
          <w:bCs/>
        </w:rPr>
        <w:t xml:space="preserve">les brèves mises en situation </w:t>
      </w:r>
      <w:r w:rsidR="00D9210E" w:rsidRPr="007D103B">
        <w:rPr>
          <w:bCs/>
        </w:rPr>
        <w:t>réparties dans la pièce</w:t>
      </w:r>
      <w:r w:rsidR="00111F52" w:rsidRPr="007D103B">
        <w:rPr>
          <w:bCs/>
        </w:rPr>
        <w:t xml:space="preserve"> (environ 10 minutes). Vous pouvez soit faire suivre d’une période de questions, soit simplement demander aux participants de </w:t>
      </w:r>
      <w:r w:rsidR="0018257D" w:rsidRPr="007D103B">
        <w:rPr>
          <w:bCs/>
        </w:rPr>
        <w:t>réfléchir aux différents</w:t>
      </w:r>
      <w:r w:rsidR="00111F52" w:rsidRPr="007D103B">
        <w:rPr>
          <w:bCs/>
        </w:rPr>
        <w:t xml:space="preserve"> exemples pour le reste de l’atelier.</w:t>
      </w:r>
    </w:p>
    <w:p w14:paraId="606E30D5" w14:textId="4E32D4B1" w:rsidR="00EF48CB" w:rsidRPr="007D103B" w:rsidRDefault="00111F52" w:rsidP="00D95E00">
      <w:pPr>
        <w:rPr>
          <w:bCs/>
        </w:rPr>
      </w:pPr>
      <w:bookmarkStart w:id="1" w:name="_Hlk530152544"/>
      <w:r w:rsidRPr="007D103B">
        <w:rPr>
          <w:rStyle w:val="SubtleReference"/>
        </w:rPr>
        <w:t>Période de questions</w:t>
      </w:r>
      <w:r w:rsidR="008A4014" w:rsidRPr="007D103B">
        <w:rPr>
          <w:rStyle w:val="SubtleReference"/>
        </w:rPr>
        <w:t xml:space="preserve">. </w:t>
      </w:r>
      <w:r w:rsidRPr="007D103B">
        <w:rPr>
          <w:bCs/>
        </w:rPr>
        <w:t xml:space="preserve">L’animateur </w:t>
      </w:r>
      <w:r w:rsidR="009E5217" w:rsidRPr="007D103B">
        <w:rPr>
          <w:bCs/>
        </w:rPr>
        <w:t>explore</w:t>
      </w:r>
      <w:r w:rsidR="006D6850" w:rsidRPr="007D103B">
        <w:rPr>
          <w:bCs/>
        </w:rPr>
        <w:t xml:space="preserve"> avec l’ensemble du groupe</w:t>
      </w:r>
      <w:r w:rsidRPr="007D103B">
        <w:rPr>
          <w:bCs/>
        </w:rPr>
        <w:t xml:space="preserve"> </w:t>
      </w:r>
      <w:r w:rsidR="009E5217" w:rsidRPr="007D103B">
        <w:rPr>
          <w:bCs/>
        </w:rPr>
        <w:t>comment les</w:t>
      </w:r>
      <w:r w:rsidRPr="007D103B">
        <w:rPr>
          <w:bCs/>
        </w:rPr>
        <w:t xml:space="preserve"> concepts vus jusqu’à présent </w:t>
      </w:r>
      <w:r w:rsidR="009E5217" w:rsidRPr="007D103B">
        <w:rPr>
          <w:bCs/>
        </w:rPr>
        <w:t xml:space="preserve">s’appliquent </w:t>
      </w:r>
      <w:r w:rsidRPr="007D103B">
        <w:rPr>
          <w:bCs/>
        </w:rPr>
        <w:t xml:space="preserve">dans ces mises en situation. Chacune d’entre elles est d’ailleurs assortie de questions – n’hésitez pas à </w:t>
      </w:r>
      <w:r w:rsidR="009E5217" w:rsidRPr="007D103B">
        <w:rPr>
          <w:bCs/>
        </w:rPr>
        <w:t>les utiliser</w:t>
      </w:r>
      <w:r w:rsidRPr="007D103B">
        <w:rPr>
          <w:bCs/>
        </w:rPr>
        <w:t xml:space="preserve">, à en </w:t>
      </w:r>
      <w:r w:rsidR="008B6C62" w:rsidRPr="007D103B">
        <w:rPr>
          <w:bCs/>
        </w:rPr>
        <w:t xml:space="preserve">formuler </w:t>
      </w:r>
      <w:r w:rsidRPr="007D103B">
        <w:rPr>
          <w:bCs/>
        </w:rPr>
        <w:t xml:space="preserve">d’autres ou à stimuler les conversations </w:t>
      </w:r>
      <w:r w:rsidR="003A64D3" w:rsidRPr="007D103B">
        <w:rPr>
          <w:bCs/>
        </w:rPr>
        <w:t xml:space="preserve">qui émergent naturellement </w:t>
      </w:r>
      <w:r w:rsidR="008B6C62" w:rsidRPr="007D103B">
        <w:rPr>
          <w:bCs/>
        </w:rPr>
        <w:t>entre l</w:t>
      </w:r>
      <w:r w:rsidR="003A64D3" w:rsidRPr="007D103B">
        <w:rPr>
          <w:bCs/>
        </w:rPr>
        <w:t xml:space="preserve">es participants. Invitez </w:t>
      </w:r>
      <w:r w:rsidR="00D04007" w:rsidRPr="007D103B">
        <w:rPr>
          <w:bCs/>
        </w:rPr>
        <w:t>l’audience</w:t>
      </w:r>
      <w:r w:rsidR="003A64D3" w:rsidRPr="007D103B">
        <w:rPr>
          <w:bCs/>
        </w:rPr>
        <w:t xml:space="preserve"> </w:t>
      </w:r>
      <w:r w:rsidR="009E5217" w:rsidRPr="007D103B">
        <w:rPr>
          <w:bCs/>
        </w:rPr>
        <w:t>à</w:t>
      </w:r>
      <w:r w:rsidR="003A64D3" w:rsidRPr="007D103B">
        <w:rPr>
          <w:bCs/>
        </w:rPr>
        <w:t xml:space="preserve"> </w:t>
      </w:r>
      <w:r w:rsidR="009E5217" w:rsidRPr="007D103B">
        <w:rPr>
          <w:bCs/>
        </w:rPr>
        <w:t>donner</w:t>
      </w:r>
      <w:r w:rsidR="003A64D3" w:rsidRPr="007D103B">
        <w:rPr>
          <w:bCs/>
        </w:rPr>
        <w:t xml:space="preserve"> d’autres exemples </w:t>
      </w:r>
      <w:r w:rsidR="00CE4E99" w:rsidRPr="007D103B">
        <w:rPr>
          <w:bCs/>
        </w:rPr>
        <w:t xml:space="preserve">concrets </w:t>
      </w:r>
      <w:r w:rsidR="003A64D3" w:rsidRPr="007D103B">
        <w:rPr>
          <w:bCs/>
        </w:rPr>
        <w:t xml:space="preserve">et </w:t>
      </w:r>
      <w:r w:rsidR="00CE4E99" w:rsidRPr="007D103B">
        <w:rPr>
          <w:bCs/>
        </w:rPr>
        <w:t xml:space="preserve">à </w:t>
      </w:r>
      <w:r w:rsidR="003A64D3" w:rsidRPr="007D103B">
        <w:rPr>
          <w:bCs/>
        </w:rPr>
        <w:t>suggére</w:t>
      </w:r>
      <w:r w:rsidR="00CE4E99" w:rsidRPr="007D103B">
        <w:rPr>
          <w:bCs/>
        </w:rPr>
        <w:t>r</w:t>
      </w:r>
      <w:r w:rsidR="003A64D3" w:rsidRPr="007D103B">
        <w:rPr>
          <w:bCs/>
        </w:rPr>
        <w:t xml:space="preserve"> des </w:t>
      </w:r>
      <w:r w:rsidR="00CE4E99" w:rsidRPr="007D103B">
        <w:rPr>
          <w:bCs/>
        </w:rPr>
        <w:t>interventions possibles</w:t>
      </w:r>
      <w:r w:rsidR="003A64D3" w:rsidRPr="007D103B">
        <w:rPr>
          <w:bCs/>
        </w:rPr>
        <w:t>.</w:t>
      </w:r>
      <w:bookmarkEnd w:id="1"/>
    </w:p>
    <w:p w14:paraId="7E544852" w14:textId="374B0FB1" w:rsidR="00B45CE5" w:rsidRPr="007D103B" w:rsidRDefault="000123C9" w:rsidP="004226DF">
      <w:pPr>
        <w:pStyle w:val="Subtitle"/>
        <w:spacing w:before="240"/>
        <w:rPr>
          <w:rStyle w:val="SubtleReference"/>
        </w:rPr>
      </w:pPr>
      <w:r w:rsidRPr="007D103B">
        <w:rPr>
          <w:rStyle w:val="SubtleReference"/>
        </w:rPr>
        <w:t xml:space="preserve">Cet exercice a été conçu pour un atelier présenté conjointement par le </w:t>
      </w:r>
      <w:r w:rsidR="008A4014" w:rsidRPr="007D103B">
        <w:rPr>
          <w:rStyle w:val="SubtleReference"/>
        </w:rPr>
        <w:t>CCNSE</w:t>
      </w:r>
      <w:r w:rsidRPr="007D103B">
        <w:rPr>
          <w:rStyle w:val="SubtleReference"/>
        </w:rPr>
        <w:t xml:space="preserve">, le </w:t>
      </w:r>
      <w:r w:rsidR="008A4014" w:rsidRPr="007D103B">
        <w:rPr>
          <w:rStyle w:val="SubtleReference"/>
        </w:rPr>
        <w:t>CCNDS</w:t>
      </w:r>
      <w:r w:rsidRPr="007D103B">
        <w:rPr>
          <w:rStyle w:val="SubtleReference"/>
        </w:rPr>
        <w:t xml:space="preserve"> et le </w:t>
      </w:r>
      <w:r w:rsidR="008A4014" w:rsidRPr="007D103B">
        <w:rPr>
          <w:rStyle w:val="SubtleReference"/>
        </w:rPr>
        <w:t xml:space="preserve">Centre de contrôle des maladies de la Colombie-Britannique </w:t>
      </w:r>
      <w:r w:rsidRPr="007D103B">
        <w:rPr>
          <w:rStyle w:val="SubtleReference"/>
        </w:rPr>
        <w:t>dans le cadre de la conférence 2017 de l’</w:t>
      </w:r>
      <w:r w:rsidR="008A4014" w:rsidRPr="007D103B">
        <w:rPr>
          <w:rStyle w:val="SubtleReference"/>
        </w:rPr>
        <w:t>Association canadienne de santé publique</w:t>
      </w:r>
      <w:r w:rsidRPr="007D103B">
        <w:rPr>
          <w:rStyle w:val="SubtleReference"/>
        </w:rPr>
        <w:t> </w:t>
      </w:r>
      <w:r w:rsidR="008A4014" w:rsidRPr="007D103B">
        <w:rPr>
          <w:rStyle w:val="SubtleReference"/>
        </w:rPr>
        <w:t xml:space="preserve">: </w:t>
      </w:r>
      <w:r w:rsidRPr="007D103B">
        <w:rPr>
          <w:rStyle w:val="SubtleReference"/>
          <w:i/>
        </w:rPr>
        <w:t xml:space="preserve">Ménager une place – faciliter la capacité organisationnelle d’équité en santé dans le domaine de la santé publique environnementale </w:t>
      </w:r>
      <w:r w:rsidR="008A4014" w:rsidRPr="007D103B">
        <w:rPr>
          <w:rStyle w:val="SubtleReference"/>
        </w:rPr>
        <w:t>(</w:t>
      </w:r>
      <w:r w:rsidRPr="007D103B">
        <w:rPr>
          <w:rStyle w:val="SubtleReference"/>
        </w:rPr>
        <w:t>par</w:t>
      </w:r>
      <w:r w:rsidR="008A4014" w:rsidRPr="007D103B">
        <w:rPr>
          <w:rStyle w:val="SubtleReference"/>
        </w:rPr>
        <w:t xml:space="preserve"> Karen Rideout </w:t>
      </w:r>
      <w:r w:rsidRPr="007D103B">
        <w:rPr>
          <w:rStyle w:val="SubtleReference"/>
        </w:rPr>
        <w:t>et</w:t>
      </w:r>
      <w:r w:rsidR="008A4014" w:rsidRPr="007D103B">
        <w:rPr>
          <w:rStyle w:val="SubtleReference"/>
        </w:rPr>
        <w:t xml:space="preserve"> </w:t>
      </w:r>
      <w:proofErr w:type="spellStart"/>
      <w:r w:rsidR="008A4014" w:rsidRPr="007D103B">
        <w:rPr>
          <w:rStyle w:val="SubtleReference"/>
        </w:rPr>
        <w:t>Dianne</w:t>
      </w:r>
      <w:proofErr w:type="spellEnd"/>
      <w:r w:rsidR="008A4014" w:rsidRPr="007D103B">
        <w:rPr>
          <w:rStyle w:val="SubtleReference"/>
        </w:rPr>
        <w:t xml:space="preserve"> </w:t>
      </w:r>
      <w:proofErr w:type="spellStart"/>
      <w:r w:rsidR="008A4014" w:rsidRPr="007D103B">
        <w:rPr>
          <w:rStyle w:val="SubtleReference"/>
        </w:rPr>
        <w:t>Oickle</w:t>
      </w:r>
      <w:proofErr w:type="spellEnd"/>
      <w:r w:rsidR="008A4014" w:rsidRPr="007D103B">
        <w:rPr>
          <w:rStyle w:val="SubtleReference"/>
        </w:rPr>
        <w:t>)</w:t>
      </w:r>
      <w:r w:rsidR="0058016F" w:rsidRPr="007D103B">
        <w:rPr>
          <w:rStyle w:val="SubtleReference"/>
        </w:rPr>
        <w:t>.</w:t>
      </w:r>
    </w:p>
    <w:p w14:paraId="0267760B" w14:textId="77777777" w:rsidR="00EF48CB" w:rsidRPr="007D103B" w:rsidRDefault="001A0470" w:rsidP="00D95E00">
      <w:r>
        <w:pict w14:anchorId="4E12D9BA">
          <v:rect id="_x0000_i1025" style="width:0;height:1.5pt" o:hralign="center" o:hrstd="t" o:hr="t" fillcolor="#a0a0a0" stroked="f"/>
        </w:pict>
      </w:r>
    </w:p>
    <w:p w14:paraId="56282809" w14:textId="77777777" w:rsidR="004226DF" w:rsidRPr="007D103B" w:rsidRDefault="008A4014">
      <w:pPr>
        <w:rPr>
          <w:b/>
          <w:u w:val="single"/>
        </w:rPr>
      </w:pPr>
      <w:r w:rsidRPr="007D103B">
        <w:rPr>
          <w:b/>
          <w:u w:val="single"/>
        </w:rPr>
        <w:br w:type="page"/>
      </w:r>
    </w:p>
    <w:p w14:paraId="5D94C945" w14:textId="50AFA08C" w:rsidR="00032138" w:rsidRPr="007D103B" w:rsidRDefault="009E5217" w:rsidP="004226DF">
      <w:pPr>
        <w:spacing w:before="240"/>
        <w:rPr>
          <w:b/>
          <w:u w:val="single"/>
        </w:rPr>
      </w:pPr>
      <w:r w:rsidRPr="007D103B">
        <w:rPr>
          <w:rStyle w:val="SubtleReference"/>
        </w:rPr>
        <w:lastRenderedPageBreak/>
        <w:t>Mises en situation et questions</w:t>
      </w:r>
      <w:r w:rsidR="00E47782" w:rsidRPr="007D103B">
        <w:rPr>
          <w:rStyle w:val="SubtleReference"/>
        </w:rPr>
        <w:t xml:space="preserve"> de discussion</w:t>
      </w:r>
      <w:r w:rsidR="008A4014" w:rsidRPr="007D103B">
        <w:rPr>
          <w:b/>
          <w:u w:val="single"/>
        </w:rPr>
        <w:br/>
        <w:t xml:space="preserve"> </w:t>
      </w:r>
      <w:r w:rsidR="008A4014" w:rsidRPr="007D103B">
        <w:rPr>
          <w:b/>
          <w:u w:val="single"/>
        </w:rPr>
        <w:br/>
      </w:r>
      <w:r w:rsidR="00414458" w:rsidRPr="007D103B">
        <w:rPr>
          <w:b/>
          <w:u w:val="single"/>
        </w:rPr>
        <w:t>La d</w:t>
      </w:r>
      <w:r w:rsidR="002B78F9" w:rsidRPr="007D103B">
        <w:rPr>
          <w:b/>
          <w:u w:val="single"/>
        </w:rPr>
        <w:t>éfense de</w:t>
      </w:r>
      <w:r w:rsidR="003A7E4F" w:rsidRPr="007D103B">
        <w:rPr>
          <w:b/>
          <w:u w:val="single"/>
        </w:rPr>
        <w:t>s</w:t>
      </w:r>
      <w:r w:rsidR="002B78F9" w:rsidRPr="007D103B">
        <w:rPr>
          <w:b/>
          <w:u w:val="single"/>
        </w:rPr>
        <w:t xml:space="preserve"> droits</w:t>
      </w:r>
      <w:r w:rsidR="00F344ED" w:rsidRPr="007D103B">
        <w:rPr>
          <w:b/>
          <w:u w:val="single"/>
        </w:rPr>
        <w:t xml:space="preserve"> </w:t>
      </w:r>
      <w:r w:rsidR="00236F10" w:rsidRPr="007D103B">
        <w:rPr>
          <w:b/>
          <w:u w:val="single"/>
        </w:rPr>
        <w:t>par les</w:t>
      </w:r>
      <w:r w:rsidR="00F344ED" w:rsidRPr="007D103B">
        <w:rPr>
          <w:b/>
          <w:u w:val="single"/>
        </w:rPr>
        <w:t xml:space="preserve"> politiques</w:t>
      </w:r>
    </w:p>
    <w:p w14:paraId="2FFA5168" w14:textId="10609315" w:rsidR="00157762" w:rsidRPr="007D103B" w:rsidRDefault="002B78F9">
      <w:r w:rsidRPr="007D103B">
        <w:t xml:space="preserve">Trois professionnels de la santé </w:t>
      </w:r>
      <w:r w:rsidR="008A40BE" w:rsidRPr="007D103B">
        <w:t xml:space="preserve">publique </w:t>
      </w:r>
      <w:r w:rsidRPr="007D103B">
        <w:t xml:space="preserve">environnementale d’une </w:t>
      </w:r>
      <w:r w:rsidR="007B7533" w:rsidRPr="007D103B">
        <w:t>a</w:t>
      </w:r>
      <w:r w:rsidR="008A4014" w:rsidRPr="007D103B">
        <w:t xml:space="preserve">utorité régionale de santé </w:t>
      </w:r>
      <w:r w:rsidRPr="007D103B">
        <w:t xml:space="preserve">sont responsables du suivi des plaintes en matière de logement. Au-delà de l’inspection des logements et du soutien qu’ils offrent aux clients, leur travail </w:t>
      </w:r>
      <w:r w:rsidR="007E5DF0" w:rsidRPr="007D103B">
        <w:t xml:space="preserve">s’oriente de plus en plus vers la défense de droits. </w:t>
      </w:r>
      <w:r w:rsidR="008F7CFC" w:rsidRPr="007D103B">
        <w:t xml:space="preserve">En consultant des collègues </w:t>
      </w:r>
      <w:r w:rsidR="007E5DF0" w:rsidRPr="007D103B">
        <w:t>affecté</w:t>
      </w:r>
      <w:r w:rsidR="008F7CFC" w:rsidRPr="007D103B">
        <w:t>s</w:t>
      </w:r>
      <w:r w:rsidR="007E5DF0" w:rsidRPr="007D103B">
        <w:t xml:space="preserve"> à d’autres programmes</w:t>
      </w:r>
      <w:r w:rsidR="008F7CFC" w:rsidRPr="007D103B">
        <w:t xml:space="preserve"> de santé publique</w:t>
      </w:r>
      <w:r w:rsidR="007E5DF0" w:rsidRPr="007D103B">
        <w:t xml:space="preserve">, ils </w:t>
      </w:r>
      <w:r w:rsidR="008F7CFC" w:rsidRPr="007D103B">
        <w:t>découvrent</w:t>
      </w:r>
      <w:r w:rsidR="007E5DF0" w:rsidRPr="007D103B">
        <w:t xml:space="preserve"> que des </w:t>
      </w:r>
      <w:r w:rsidR="008F7CFC" w:rsidRPr="007D103B">
        <w:t xml:space="preserve">infirmiers spécialistes de </w:t>
      </w:r>
      <w:r w:rsidR="00BF5E83" w:rsidRPr="007D103B">
        <w:t>l</w:t>
      </w:r>
      <w:r w:rsidR="007E5DF0" w:rsidRPr="007D103B">
        <w:t>’</w:t>
      </w:r>
      <w:r w:rsidR="008A4014" w:rsidRPr="007D103B">
        <w:t xml:space="preserve">équité en santé </w:t>
      </w:r>
      <w:r w:rsidR="007E5DF0" w:rsidRPr="007D103B">
        <w:t xml:space="preserve">travaillent en fait tout près d’eux au bureau. Au fil du développement de leurs relations et de la découverte mutuelle de leurs </w:t>
      </w:r>
      <w:r w:rsidR="008F7CFC" w:rsidRPr="007D103B">
        <w:t>activités</w:t>
      </w:r>
      <w:r w:rsidR="007E5DF0" w:rsidRPr="007D103B">
        <w:t xml:space="preserve">, les professionnels de la santé </w:t>
      </w:r>
      <w:r w:rsidR="00741F60" w:rsidRPr="007D103B">
        <w:t xml:space="preserve">publique </w:t>
      </w:r>
      <w:r w:rsidR="007E5DF0" w:rsidRPr="007D103B">
        <w:t xml:space="preserve">environnementale trouvent </w:t>
      </w:r>
      <w:r w:rsidR="005F6E3F" w:rsidRPr="007D103B">
        <w:t>des moyens</w:t>
      </w:r>
      <w:r w:rsidR="007E5DF0" w:rsidRPr="007D103B">
        <w:t xml:space="preserve"> de </w:t>
      </w:r>
      <w:r w:rsidR="008F7CFC" w:rsidRPr="007D103B">
        <w:t>contribuer aux</w:t>
      </w:r>
      <w:r w:rsidR="007E5DF0" w:rsidRPr="007D103B">
        <w:t xml:space="preserve"> stratégies </w:t>
      </w:r>
      <w:r w:rsidR="00421FBD" w:rsidRPr="007D103B">
        <w:t>d</w:t>
      </w:r>
      <w:r w:rsidR="007E5DF0" w:rsidRPr="007D103B">
        <w:t xml:space="preserve">’accessibilité du logement et </w:t>
      </w:r>
      <w:r w:rsidR="00421FBD" w:rsidRPr="007D103B">
        <w:t>de lutte contre</w:t>
      </w:r>
      <w:r w:rsidR="007E5DF0" w:rsidRPr="007D103B">
        <w:t xml:space="preserve"> la pauvreté.</w:t>
      </w:r>
      <w:r w:rsidR="00FF0E73" w:rsidRPr="007D103B">
        <w:t xml:space="preserve"> Ils commencent aussi à </w:t>
      </w:r>
      <w:r w:rsidR="00305A45" w:rsidRPr="007D103B">
        <w:t>réclamer d</w:t>
      </w:r>
      <w:r w:rsidR="00FF0E73" w:rsidRPr="007D103B">
        <w:t xml:space="preserve">es politiques </w:t>
      </w:r>
      <w:r w:rsidR="005F6E3F" w:rsidRPr="007D103B">
        <w:t>sur</w:t>
      </w:r>
      <w:r w:rsidR="00FF0E73" w:rsidRPr="007D103B">
        <w:t xml:space="preserve"> des problèmes qui débordent du cadre de la protection de la santé, comme l’exclusion sociale, l’insécurité alimentaire, l’accès au transport </w:t>
      </w:r>
      <w:r w:rsidR="008F7CFC" w:rsidRPr="007D103B">
        <w:t>en commun</w:t>
      </w:r>
      <w:r w:rsidR="00FF0E73" w:rsidRPr="007D103B">
        <w:t xml:space="preserve"> et l’aménagement de lieux pour les aînés.</w:t>
      </w:r>
    </w:p>
    <w:p w14:paraId="3111C77E" w14:textId="1F911B6A" w:rsidR="00A56617" w:rsidRPr="007D103B" w:rsidRDefault="00FF0E73" w:rsidP="00A56617">
      <w:pPr>
        <w:pStyle w:val="ListParagraph"/>
        <w:numPr>
          <w:ilvl w:val="0"/>
          <w:numId w:val="1"/>
        </w:numPr>
      </w:pPr>
      <w:r w:rsidRPr="007D103B">
        <w:t>Avec qui pourriez-vous collaborer dans votre organisation?</w:t>
      </w:r>
      <w:r w:rsidR="008A4014" w:rsidRPr="007D103B">
        <w:t xml:space="preserve"> </w:t>
      </w:r>
      <w:r w:rsidRPr="007D103B">
        <w:t xml:space="preserve">Comment pourriez-vous vous renseigner sur </w:t>
      </w:r>
      <w:r w:rsidR="005B31E2" w:rsidRPr="007D103B">
        <w:t>d</w:t>
      </w:r>
      <w:r w:rsidRPr="007D103B">
        <w:t>es postes q</w:t>
      </w:r>
      <w:r w:rsidR="00300035" w:rsidRPr="007D103B">
        <w:t>ui vous sont peut-être inconnus</w:t>
      </w:r>
      <w:r w:rsidRPr="007D103B">
        <w:t>, comme celui des infirmi</w:t>
      </w:r>
      <w:r w:rsidR="003A7E4F" w:rsidRPr="007D103B">
        <w:t>er</w:t>
      </w:r>
      <w:r w:rsidRPr="007D103B">
        <w:t>s d</w:t>
      </w:r>
      <w:r w:rsidR="00300035" w:rsidRPr="007D103B">
        <w:t>e</w:t>
      </w:r>
      <w:r w:rsidRPr="007D103B">
        <w:t xml:space="preserve"> l’exemple?</w:t>
      </w:r>
    </w:p>
    <w:p w14:paraId="121EF5E8" w14:textId="6A5E95A2" w:rsidR="00A56617" w:rsidRPr="007D103B" w:rsidRDefault="00C17897" w:rsidP="00A56617">
      <w:pPr>
        <w:pStyle w:val="ListParagraph"/>
        <w:numPr>
          <w:ilvl w:val="0"/>
          <w:numId w:val="1"/>
        </w:numPr>
      </w:pPr>
      <w:r w:rsidRPr="007D103B">
        <w:t>Nommez quelques</w:t>
      </w:r>
      <w:r w:rsidR="00300035" w:rsidRPr="007D103B">
        <w:t xml:space="preserve"> enjeux pour lesquels</w:t>
      </w:r>
      <w:r w:rsidRPr="007D103B">
        <w:t xml:space="preserve"> ce genre de collaboration</w:t>
      </w:r>
      <w:r w:rsidR="00300035" w:rsidRPr="007D103B">
        <w:t xml:space="preserve"> pourrait s’avérer bénéfique</w:t>
      </w:r>
      <w:r w:rsidRPr="007D103B">
        <w:t>.</w:t>
      </w:r>
    </w:p>
    <w:p w14:paraId="48CC838C" w14:textId="1CD56F53" w:rsidR="00032138" w:rsidRPr="007D103B" w:rsidRDefault="00414458" w:rsidP="004226DF">
      <w:pPr>
        <w:keepNext/>
        <w:spacing w:before="240"/>
        <w:rPr>
          <w:b/>
          <w:u w:val="single"/>
        </w:rPr>
      </w:pPr>
      <w:r w:rsidRPr="007D103B">
        <w:rPr>
          <w:b/>
          <w:u w:val="single"/>
        </w:rPr>
        <w:t>Le c</w:t>
      </w:r>
      <w:r w:rsidR="00C17897" w:rsidRPr="007D103B">
        <w:rPr>
          <w:b/>
          <w:u w:val="single"/>
        </w:rPr>
        <w:t xml:space="preserve">omité et </w:t>
      </w:r>
      <w:r w:rsidRPr="007D103B">
        <w:rPr>
          <w:b/>
          <w:u w:val="single"/>
        </w:rPr>
        <w:t xml:space="preserve">le </w:t>
      </w:r>
      <w:r w:rsidR="00C17897" w:rsidRPr="007D103B">
        <w:rPr>
          <w:b/>
          <w:u w:val="single"/>
        </w:rPr>
        <w:t>personnel affecté</w:t>
      </w:r>
      <w:r w:rsidR="003B6D7D" w:rsidRPr="007D103B">
        <w:rPr>
          <w:b/>
          <w:u w:val="single"/>
        </w:rPr>
        <w:t>s</w:t>
      </w:r>
      <w:r w:rsidR="00C17897" w:rsidRPr="007D103B">
        <w:rPr>
          <w:b/>
          <w:u w:val="single"/>
        </w:rPr>
        <w:t xml:space="preserve"> à l’</w:t>
      </w:r>
      <w:r w:rsidR="008A4014" w:rsidRPr="007D103B">
        <w:rPr>
          <w:b/>
          <w:u w:val="single"/>
        </w:rPr>
        <w:t>équité en santé</w:t>
      </w:r>
    </w:p>
    <w:p w14:paraId="68DF6986" w14:textId="41E4E7DD" w:rsidR="00763421" w:rsidRPr="007D103B" w:rsidRDefault="006E4A89">
      <w:r w:rsidRPr="007D103B">
        <w:t xml:space="preserve">Un organisme </w:t>
      </w:r>
      <w:r w:rsidR="00300035" w:rsidRPr="007D103B">
        <w:t>de</w:t>
      </w:r>
      <w:r w:rsidRPr="007D103B">
        <w:t xml:space="preserve"> santé publique a des employés </w:t>
      </w:r>
      <w:r w:rsidR="005F6E3F" w:rsidRPr="007D103B">
        <w:t>désignés pour</w:t>
      </w:r>
      <w:r w:rsidRPr="007D103B">
        <w:t xml:space="preserve"> la promotion des déterminants sociaux de la santé et de l’</w:t>
      </w:r>
      <w:r w:rsidR="008A4014" w:rsidRPr="007D103B">
        <w:t xml:space="preserve">équité en santé. </w:t>
      </w:r>
      <w:r w:rsidRPr="007D103B">
        <w:t>Ils font des présentations sur l’</w:t>
      </w:r>
      <w:r w:rsidR="008A4014" w:rsidRPr="007D103B">
        <w:t xml:space="preserve">équité en santé </w:t>
      </w:r>
      <w:r w:rsidRPr="007D103B">
        <w:t>et le rôle de la santé publique en général</w:t>
      </w:r>
      <w:r w:rsidR="00300035" w:rsidRPr="007D103B">
        <w:t>.</w:t>
      </w:r>
      <w:r w:rsidRPr="007D103B">
        <w:t xml:space="preserve"> </w:t>
      </w:r>
      <w:r w:rsidR="00300035" w:rsidRPr="007D103B">
        <w:t>L</w:t>
      </w:r>
      <w:r w:rsidRPr="007D103B">
        <w:t xml:space="preserve">es professionnels de la santé environnementale ont envie de </w:t>
      </w:r>
      <w:r w:rsidR="005F6E3F" w:rsidRPr="007D103B">
        <w:t>contribuer</w:t>
      </w:r>
      <w:r w:rsidRPr="007D103B">
        <w:t>. L’organisme a intégré le concept d’</w:t>
      </w:r>
      <w:r w:rsidR="008A4014" w:rsidRPr="007D103B">
        <w:t xml:space="preserve">équité en santé </w:t>
      </w:r>
      <w:r w:rsidRPr="007D103B">
        <w:t>dans sa mission, ses valeurs et son orientation stratégique</w:t>
      </w:r>
      <w:r w:rsidR="007D31C9" w:rsidRPr="007D103B">
        <w:t>.</w:t>
      </w:r>
      <w:r w:rsidR="00300035" w:rsidRPr="007D103B">
        <w:t xml:space="preserve"> </w:t>
      </w:r>
      <w:r w:rsidR="007D31C9" w:rsidRPr="007D103B">
        <w:t>I</w:t>
      </w:r>
      <w:r w:rsidR="00300035" w:rsidRPr="007D103B">
        <w:t>l a d’ailleurs créé</w:t>
      </w:r>
      <w:r w:rsidRPr="007D103B">
        <w:t xml:space="preserve"> un comité </w:t>
      </w:r>
      <w:r w:rsidR="007D31C9" w:rsidRPr="007D103B">
        <w:t>consacré à ce sujet</w:t>
      </w:r>
      <w:r w:rsidR="00300035" w:rsidRPr="007D103B">
        <w:t>,</w:t>
      </w:r>
      <w:r w:rsidR="00BF3C55" w:rsidRPr="007D103B">
        <w:t xml:space="preserve"> composé de représentants de tous les services de santé publique et de tou</w:t>
      </w:r>
      <w:r w:rsidR="00F02580" w:rsidRPr="007D103B">
        <w:t>te</w:t>
      </w:r>
      <w:r w:rsidR="00BF3C55" w:rsidRPr="007D103B">
        <w:t>s les profession</w:t>
      </w:r>
      <w:r w:rsidR="00AA211B" w:rsidRPr="007D103B">
        <w:t>s</w:t>
      </w:r>
      <w:r w:rsidR="00BF3C55" w:rsidRPr="007D103B">
        <w:t>, y compris ce</w:t>
      </w:r>
      <w:r w:rsidR="00F02580" w:rsidRPr="007D103B">
        <w:t>lles de la</w:t>
      </w:r>
      <w:r w:rsidR="00BF3C55" w:rsidRPr="007D103B">
        <w:t xml:space="preserve"> </w:t>
      </w:r>
      <w:r w:rsidR="00F02580" w:rsidRPr="007D103B">
        <w:t xml:space="preserve">protection de la </w:t>
      </w:r>
      <w:r w:rsidR="00BF3C55" w:rsidRPr="007D103B">
        <w:t xml:space="preserve">santé </w:t>
      </w:r>
      <w:r w:rsidR="00F02580" w:rsidRPr="007D103B">
        <w:t xml:space="preserve">et de la santé </w:t>
      </w:r>
      <w:r w:rsidR="00BF3C55" w:rsidRPr="007D103B">
        <w:t xml:space="preserve">environnementale. </w:t>
      </w:r>
      <w:r w:rsidR="001E68C7" w:rsidRPr="007D103B">
        <w:t xml:space="preserve">Mais </w:t>
      </w:r>
      <w:r w:rsidR="009519FD" w:rsidRPr="007D103B">
        <w:t>outre</w:t>
      </w:r>
      <w:r w:rsidR="001E68C7" w:rsidRPr="007D103B">
        <w:t xml:space="preserve"> ce grand comité</w:t>
      </w:r>
      <w:r w:rsidR="00BF3C55" w:rsidRPr="007D103B">
        <w:t>, le service de santé environnementale</w:t>
      </w:r>
      <w:r w:rsidR="001E68C7" w:rsidRPr="007D103B">
        <w:t xml:space="preserve"> a créé </w:t>
      </w:r>
      <w:r w:rsidR="005B69F3" w:rsidRPr="007D103B">
        <w:t>son</w:t>
      </w:r>
      <w:r w:rsidR="00BF3C55" w:rsidRPr="007D103B">
        <w:t xml:space="preserve"> propre </w:t>
      </w:r>
      <w:r w:rsidR="005B69F3" w:rsidRPr="007D103B">
        <w:t>comité d’équité en santé</w:t>
      </w:r>
      <w:r w:rsidR="00955549" w:rsidRPr="007D103B">
        <w:t>, qui</w:t>
      </w:r>
      <w:r w:rsidR="00BF3C55" w:rsidRPr="007D103B">
        <w:t xml:space="preserve"> examine comment </w:t>
      </w:r>
      <w:r w:rsidR="00955549" w:rsidRPr="007D103B">
        <w:t xml:space="preserve">le service peur </w:t>
      </w:r>
      <w:r w:rsidR="00BF3C55" w:rsidRPr="007D103B">
        <w:t xml:space="preserve">tenir compte des déterminants sociaux de la santé dans </w:t>
      </w:r>
      <w:r w:rsidR="00955549" w:rsidRPr="007D103B">
        <w:t xml:space="preserve">ses </w:t>
      </w:r>
      <w:r w:rsidR="00BF3C55" w:rsidRPr="007D103B">
        <w:t>programmes.</w:t>
      </w:r>
    </w:p>
    <w:p w14:paraId="5DE02773" w14:textId="059FF137" w:rsidR="00A56617" w:rsidRPr="007D103B" w:rsidRDefault="00BF3C55" w:rsidP="00A56617">
      <w:pPr>
        <w:pStyle w:val="ListParagraph"/>
        <w:numPr>
          <w:ilvl w:val="0"/>
          <w:numId w:val="2"/>
        </w:numPr>
      </w:pPr>
      <w:r w:rsidRPr="007D103B">
        <w:t xml:space="preserve">Quelle forme pourrait prendre un comité </w:t>
      </w:r>
      <w:r w:rsidR="00143DE0" w:rsidRPr="007D103B">
        <w:t xml:space="preserve">consacré </w:t>
      </w:r>
      <w:r w:rsidRPr="007D103B">
        <w:t>à l’</w:t>
      </w:r>
      <w:r w:rsidR="008A4014" w:rsidRPr="007D103B">
        <w:t xml:space="preserve">équité en santé </w:t>
      </w:r>
      <w:r w:rsidRPr="007D103B">
        <w:t>dans votre organisation?</w:t>
      </w:r>
      <w:r w:rsidR="008A4014" w:rsidRPr="007D103B">
        <w:t xml:space="preserve"> </w:t>
      </w:r>
      <w:r w:rsidRPr="007D103B">
        <w:t>Qui devrait être invité à y siéger?</w:t>
      </w:r>
    </w:p>
    <w:p w14:paraId="7B564496" w14:textId="6F49997A" w:rsidR="00A56617" w:rsidRPr="007D103B" w:rsidRDefault="00BF3C55" w:rsidP="00A56617">
      <w:pPr>
        <w:pStyle w:val="ListParagraph"/>
        <w:numPr>
          <w:ilvl w:val="0"/>
          <w:numId w:val="2"/>
        </w:numPr>
      </w:pPr>
      <w:r w:rsidRPr="007D103B">
        <w:t>Quelle est la place accordée à l’</w:t>
      </w:r>
      <w:r w:rsidR="008A4014" w:rsidRPr="007D103B">
        <w:t xml:space="preserve">équité en santé </w:t>
      </w:r>
      <w:r w:rsidRPr="007D103B">
        <w:t>dans la mission, la vision et la planification des services de votre organisation?</w:t>
      </w:r>
    </w:p>
    <w:p w14:paraId="37921838" w14:textId="5BA24471" w:rsidR="00DC2622" w:rsidRPr="007D103B" w:rsidRDefault="00414458" w:rsidP="00E51D5A">
      <w:pPr>
        <w:spacing w:before="240"/>
        <w:rPr>
          <w:b/>
          <w:u w:val="single"/>
        </w:rPr>
      </w:pPr>
      <w:r w:rsidRPr="007D103B">
        <w:rPr>
          <w:b/>
          <w:u w:val="single"/>
        </w:rPr>
        <w:t>Les m</w:t>
      </w:r>
      <w:r w:rsidR="00BF3C55" w:rsidRPr="007D103B">
        <w:rPr>
          <w:b/>
          <w:u w:val="single"/>
        </w:rPr>
        <w:t xml:space="preserve">aladies transmissibles et </w:t>
      </w:r>
      <w:r w:rsidRPr="007D103B">
        <w:rPr>
          <w:b/>
          <w:u w:val="single"/>
        </w:rPr>
        <w:t xml:space="preserve">le </w:t>
      </w:r>
      <w:r w:rsidR="0027450B" w:rsidRPr="007D103B">
        <w:rPr>
          <w:b/>
          <w:u w:val="single"/>
        </w:rPr>
        <w:t>personnel d</w:t>
      </w:r>
      <w:r w:rsidR="005C5716" w:rsidRPr="007D103B">
        <w:rPr>
          <w:b/>
          <w:u w:val="single"/>
        </w:rPr>
        <w:t xml:space="preserve">es </w:t>
      </w:r>
      <w:r w:rsidR="0027450B" w:rsidRPr="007D103B">
        <w:rPr>
          <w:b/>
          <w:u w:val="single"/>
        </w:rPr>
        <w:t>établissements alimentaires</w:t>
      </w:r>
    </w:p>
    <w:p w14:paraId="7AB7DB35" w14:textId="1CE0ADBF" w:rsidR="00DC2622" w:rsidRPr="007D103B" w:rsidRDefault="00A90123">
      <w:r w:rsidRPr="007D103B">
        <w:t>Un professionnel de la santé environnementale affecté à l’inspection de restaurants s’occupe du cas d’un employé touchant un faible salaire qui, ayant reçu un diagnostic de maladie transmissible, doit s’absenter du travail pour une durée déterminée en vertu de la r</w:t>
      </w:r>
      <w:r w:rsidR="00C46ACD" w:rsidRPr="007D103B">
        <w:t>é</w:t>
      </w:r>
      <w:r w:rsidRPr="007D103B">
        <w:t xml:space="preserve">glementation </w:t>
      </w:r>
      <w:r w:rsidR="001E68C7" w:rsidRPr="007D103B">
        <w:t>interdisant</w:t>
      </w:r>
      <w:r w:rsidRPr="007D103B">
        <w:t xml:space="preserve"> aux personnes souffrant de certaines</w:t>
      </w:r>
      <w:r w:rsidR="008A4014" w:rsidRPr="007D103B">
        <w:t xml:space="preserve"> maladie</w:t>
      </w:r>
      <w:r w:rsidRPr="007D103B">
        <w:t>s</w:t>
      </w:r>
      <w:r w:rsidR="008A4014" w:rsidRPr="007D103B">
        <w:t xml:space="preserve"> infectieuse</w:t>
      </w:r>
      <w:r w:rsidRPr="007D103B">
        <w:t>s</w:t>
      </w:r>
      <w:r w:rsidR="008A4014" w:rsidRPr="007D103B">
        <w:t xml:space="preserve"> </w:t>
      </w:r>
      <w:r w:rsidRPr="007D103B">
        <w:t xml:space="preserve">de manipuler des aliments destinés au public. Il panique : en tant que père </w:t>
      </w:r>
      <w:r w:rsidR="00665FF5" w:rsidRPr="007D103B">
        <w:t>monoparental de</w:t>
      </w:r>
      <w:r w:rsidRPr="007D103B">
        <w:t xml:space="preserve"> deux </w:t>
      </w:r>
      <w:r w:rsidR="00AE245C" w:rsidRPr="007D103B">
        <w:t xml:space="preserve">jeunes </w:t>
      </w:r>
      <w:r w:rsidRPr="007D103B">
        <w:t xml:space="preserve">enfants </w:t>
      </w:r>
      <w:r w:rsidR="00B22270" w:rsidRPr="007D103B">
        <w:t xml:space="preserve">qui </w:t>
      </w:r>
      <w:r w:rsidRPr="007D103B">
        <w:t>travaill</w:t>
      </w:r>
      <w:r w:rsidR="00B22270" w:rsidRPr="007D103B">
        <w:t>e</w:t>
      </w:r>
      <w:r w:rsidRPr="007D103B">
        <w:t xml:space="preserve"> à temps partiel </w:t>
      </w:r>
      <w:r w:rsidR="00982D89" w:rsidRPr="007D103B">
        <w:t>et</w:t>
      </w:r>
      <w:r w:rsidR="001E68C7" w:rsidRPr="007D103B">
        <w:t xml:space="preserve"> n’a</w:t>
      </w:r>
      <w:r w:rsidRPr="007D103B">
        <w:t xml:space="preserve"> </w:t>
      </w:r>
      <w:r w:rsidRPr="007D103B">
        <w:lastRenderedPageBreak/>
        <w:t xml:space="preserve">droit à aucun congé </w:t>
      </w:r>
      <w:r w:rsidR="006C5D2C" w:rsidRPr="007D103B">
        <w:t xml:space="preserve">de </w:t>
      </w:r>
      <w:r w:rsidRPr="007D103B">
        <w:t xml:space="preserve">maladie payé, il n’arrivera pas à </w:t>
      </w:r>
      <w:r w:rsidR="00E05D12" w:rsidRPr="007D103B">
        <w:t>assumer</w:t>
      </w:r>
      <w:r w:rsidRPr="007D103B">
        <w:t xml:space="preserve"> le loyer et </w:t>
      </w:r>
      <w:r w:rsidR="0065691E" w:rsidRPr="007D103B">
        <w:t xml:space="preserve">à faire l’épicerie s’il </w:t>
      </w:r>
      <w:r w:rsidR="001E68C7" w:rsidRPr="007D103B">
        <w:t>s’absente du</w:t>
      </w:r>
      <w:r w:rsidR="0065691E" w:rsidRPr="007D103B">
        <w:t xml:space="preserve"> travail.</w:t>
      </w:r>
    </w:p>
    <w:p w14:paraId="7A61694D" w14:textId="2995B0EE" w:rsidR="00DC2622" w:rsidRPr="007D103B" w:rsidRDefault="0065691E" w:rsidP="004322FE">
      <w:r w:rsidRPr="007D103B">
        <w:t xml:space="preserve">Le professionnel en santé </w:t>
      </w:r>
      <w:r w:rsidR="001E68C7" w:rsidRPr="007D103B">
        <w:t xml:space="preserve">publique </w:t>
      </w:r>
      <w:r w:rsidRPr="007D103B">
        <w:t xml:space="preserve">environnementale participe à la négociation d’une entente entre le propriétaire du restaurant et l’employé : il sera payé durant son absence, mais devra reprendre les quarts manqués quand il ne sera plus contagieux. </w:t>
      </w:r>
      <w:r w:rsidR="0037032A" w:rsidRPr="007D103B">
        <w:t xml:space="preserve">De plus, le gestionnaire de l’équipe responsable des maladies transmissibles a </w:t>
      </w:r>
      <w:r w:rsidR="008C471E" w:rsidRPr="007D103B">
        <w:t>étudié</w:t>
      </w:r>
      <w:r w:rsidR="001E1DF9" w:rsidRPr="007D103B">
        <w:t xml:space="preserve"> les conséquences</w:t>
      </w:r>
      <w:r w:rsidR="0037032A" w:rsidRPr="007D103B">
        <w:t xml:space="preserve"> des périodes d’exclusion sur les travailleurs à faible revenu</w:t>
      </w:r>
      <w:r w:rsidR="006D60BF" w:rsidRPr="007D103B">
        <w:t>,</w:t>
      </w:r>
      <w:r w:rsidR="0037032A" w:rsidRPr="007D103B">
        <w:t xml:space="preserve"> et une stratégie de communication a été mise sur pied pour faire comprendre l’importance de ces périodes aux restaurateurs et à leur personnel. L’équipe a ensuite collaboré avec l’industrie </w:t>
      </w:r>
      <w:r w:rsidR="006D60BF" w:rsidRPr="007D103B">
        <w:t>alimentaire</w:t>
      </w:r>
      <w:r w:rsidR="0037032A" w:rsidRPr="007D103B">
        <w:t xml:space="preserve"> et les groupes de travailleurs </w:t>
      </w:r>
      <w:r w:rsidR="006D60BF" w:rsidRPr="007D103B">
        <w:t>œuvrant dans le domaine du service</w:t>
      </w:r>
      <w:r w:rsidR="0037032A" w:rsidRPr="007D103B">
        <w:t xml:space="preserve"> pour trouver des solutions (p. ex., financement des médicaments et négociation des horaires de travail)</w:t>
      </w:r>
      <w:r w:rsidR="00F165E9" w:rsidRPr="007D103B">
        <w:t xml:space="preserve"> </w:t>
      </w:r>
      <w:r w:rsidR="006371BC" w:rsidRPr="007D103B">
        <w:t>qui</w:t>
      </w:r>
      <w:r w:rsidR="00F165E9" w:rsidRPr="007D103B">
        <w:t xml:space="preserve"> prot</w:t>
      </w:r>
      <w:r w:rsidR="006371BC" w:rsidRPr="007D103B">
        <w:t>ègent</w:t>
      </w:r>
      <w:r w:rsidR="00F165E9" w:rsidRPr="007D103B">
        <w:t xml:space="preserve"> la santé publique tout en </w:t>
      </w:r>
      <w:r w:rsidR="006371BC" w:rsidRPr="007D103B">
        <w:t xml:space="preserve">réduisant au </w:t>
      </w:r>
      <w:r w:rsidR="00F165E9" w:rsidRPr="007D103B">
        <w:t>minim</w:t>
      </w:r>
      <w:r w:rsidR="006371BC" w:rsidRPr="007D103B">
        <w:t>um</w:t>
      </w:r>
      <w:r w:rsidR="00F165E9" w:rsidRPr="007D103B">
        <w:t xml:space="preserve"> les risques financiers des travailleurs à faible revenu.</w:t>
      </w:r>
    </w:p>
    <w:p w14:paraId="0611A24B" w14:textId="0BAD60AB" w:rsidR="00A56617" w:rsidRPr="007D103B" w:rsidRDefault="00BC4ECA" w:rsidP="00A56617">
      <w:pPr>
        <w:pStyle w:val="ListParagraph"/>
        <w:numPr>
          <w:ilvl w:val="0"/>
          <w:numId w:val="3"/>
        </w:numPr>
      </w:pPr>
      <w:r w:rsidRPr="007D103B">
        <w:t xml:space="preserve">Pouvez-vous nommer d’autres conséquences </w:t>
      </w:r>
      <w:r w:rsidR="00B22270" w:rsidRPr="007D103B">
        <w:t>indésirables que pourrait provoquer</w:t>
      </w:r>
      <w:r w:rsidRPr="007D103B">
        <w:t xml:space="preserve"> l’application des règle</w:t>
      </w:r>
      <w:r w:rsidR="008F7026" w:rsidRPr="007D103B">
        <w:t>ment</w:t>
      </w:r>
      <w:r w:rsidRPr="007D103B">
        <w:t>s de santé publique? Comment les éviter ou les atténuer?</w:t>
      </w:r>
    </w:p>
    <w:p w14:paraId="6D8BB956" w14:textId="1A3B9788" w:rsidR="00A56617" w:rsidRPr="007D103B" w:rsidRDefault="00CA3A47" w:rsidP="004322FE">
      <w:pPr>
        <w:pStyle w:val="ListParagraph"/>
        <w:numPr>
          <w:ilvl w:val="0"/>
          <w:numId w:val="3"/>
        </w:numPr>
      </w:pPr>
      <w:r w:rsidRPr="007D103B">
        <w:t xml:space="preserve">Comment </w:t>
      </w:r>
      <w:r w:rsidR="006D60BF" w:rsidRPr="007D103B">
        <w:t xml:space="preserve">pourrait-on </w:t>
      </w:r>
      <w:r w:rsidR="00AF55E3" w:rsidRPr="007D103B">
        <w:t xml:space="preserve">ériger </w:t>
      </w:r>
      <w:r w:rsidRPr="007D103B">
        <w:t xml:space="preserve">des stratégies telles que celle décrite </w:t>
      </w:r>
      <w:r w:rsidR="00AF55E3" w:rsidRPr="007D103B">
        <w:t>en</w:t>
      </w:r>
      <w:r w:rsidRPr="007D103B">
        <w:t xml:space="preserve"> procédures </w:t>
      </w:r>
      <w:r w:rsidR="00AF55E3" w:rsidRPr="007D103B">
        <w:t>officielles</w:t>
      </w:r>
      <w:r w:rsidRPr="007D103B">
        <w:t>?</w:t>
      </w:r>
    </w:p>
    <w:p w14:paraId="24520AE2" w14:textId="705456C6" w:rsidR="00DC2622" w:rsidRPr="007D103B" w:rsidRDefault="00414458" w:rsidP="00E51D5A">
      <w:pPr>
        <w:spacing w:before="240"/>
      </w:pPr>
      <w:r w:rsidRPr="007D103B">
        <w:rPr>
          <w:b/>
          <w:u w:val="single"/>
        </w:rPr>
        <w:t xml:space="preserve">La collaboration avec les </w:t>
      </w:r>
      <w:r w:rsidR="007E2E7E" w:rsidRPr="007D103B">
        <w:rPr>
          <w:b/>
          <w:u w:val="single"/>
        </w:rPr>
        <w:t>Premières Nations</w:t>
      </w:r>
    </w:p>
    <w:p w14:paraId="7A7856A4" w14:textId="7A8DDEA9" w:rsidR="00032138" w:rsidRPr="007D103B" w:rsidRDefault="0026129C" w:rsidP="00DC2622">
      <w:r w:rsidRPr="007D103B">
        <w:t>Il y a un écart entre la consomma</w:t>
      </w:r>
      <w:r w:rsidR="004850BB" w:rsidRPr="007D103B">
        <w:t>t</w:t>
      </w:r>
      <w:r w:rsidRPr="007D103B">
        <w:t xml:space="preserve">ion de tabac </w:t>
      </w:r>
      <w:r w:rsidR="007C4F01" w:rsidRPr="007D103B">
        <w:t xml:space="preserve">chez </w:t>
      </w:r>
      <w:r w:rsidR="004850BB" w:rsidRPr="007D103B">
        <w:t>l</w:t>
      </w:r>
      <w:r w:rsidRPr="007D103B">
        <w:t>e</w:t>
      </w:r>
      <w:r w:rsidR="004850BB" w:rsidRPr="007D103B">
        <w:t xml:space="preserve">s Premières Nations et </w:t>
      </w:r>
      <w:r w:rsidR="004E787C" w:rsidRPr="007D103B">
        <w:t>celles d</w:t>
      </w:r>
      <w:r w:rsidR="00C74740" w:rsidRPr="007D103B">
        <w:t xml:space="preserve">es autres </w:t>
      </w:r>
      <w:r w:rsidR="00DB5F4B" w:rsidRPr="007D103B">
        <w:t>populations</w:t>
      </w:r>
      <w:r w:rsidR="00C74740" w:rsidRPr="007D103B">
        <w:t xml:space="preserve"> </w:t>
      </w:r>
      <w:r w:rsidR="004850BB" w:rsidRPr="007D103B">
        <w:t xml:space="preserve">au Canada. Le ministère responsable de la protection de la santé est mandaté d’élaborer une stratégie de collaboration avec les communautés </w:t>
      </w:r>
      <w:r w:rsidR="007C4F01" w:rsidRPr="007D103B">
        <w:t xml:space="preserve">des Premières Nations </w:t>
      </w:r>
      <w:r w:rsidR="004850BB" w:rsidRPr="007D103B">
        <w:t xml:space="preserve">locales </w:t>
      </w:r>
      <w:r w:rsidR="00DB5F4B" w:rsidRPr="007D103B">
        <w:t>à l’égard des</w:t>
      </w:r>
      <w:r w:rsidR="004850BB" w:rsidRPr="007D103B">
        <w:t xml:space="preserve"> facteurs contributifs</w:t>
      </w:r>
      <w:r w:rsidR="008A4014" w:rsidRPr="007D103B">
        <w:t xml:space="preserve">. </w:t>
      </w:r>
      <w:r w:rsidR="004850BB" w:rsidRPr="007D103B">
        <w:t xml:space="preserve">Ensemble, le personnel de la santé publique, les aînés et les chefs des communautés se sont affairés à </w:t>
      </w:r>
      <w:r w:rsidR="00D37F3A" w:rsidRPr="007D103B">
        <w:t xml:space="preserve">déterminer </w:t>
      </w:r>
      <w:r w:rsidR="004850BB" w:rsidRPr="007D103B">
        <w:t>les facteurs d’atténuation</w:t>
      </w:r>
      <w:r w:rsidR="00B33706" w:rsidRPr="007D103B">
        <w:t xml:space="preserve">; ils </w:t>
      </w:r>
      <w:r w:rsidR="004850BB" w:rsidRPr="007D103B">
        <w:t xml:space="preserve">ont élaboré une </w:t>
      </w:r>
      <w:r w:rsidR="007829E3" w:rsidRPr="007D103B">
        <w:t>en</w:t>
      </w:r>
      <w:r w:rsidR="004850BB" w:rsidRPr="007D103B">
        <w:t>tente favorisant la collaboration</w:t>
      </w:r>
      <w:r w:rsidR="007829E3" w:rsidRPr="007D103B">
        <w:t xml:space="preserve">, même si les règles du ministère ne s’appliquent </w:t>
      </w:r>
      <w:r w:rsidR="00607852">
        <w:t xml:space="preserve">pas </w:t>
      </w:r>
      <w:r w:rsidR="00E91573" w:rsidRPr="007D103B">
        <w:t>sur les territoires des Premières Nations</w:t>
      </w:r>
      <w:r w:rsidR="007829E3" w:rsidRPr="007D103B">
        <w:t xml:space="preserve">. Un programme </w:t>
      </w:r>
      <w:r w:rsidR="00B33706" w:rsidRPr="007D103B">
        <w:t xml:space="preserve">d’application des lois sur le </w:t>
      </w:r>
      <w:r w:rsidR="007829E3" w:rsidRPr="007D103B">
        <w:t>tabac a été mis en œuvre pour s’attaquer à la vente illégale de produits du tabac, renforcer la surveillance des détaillants, créer du matériel de sensibilisation culturellement adapté, présenter les conséquences du non-respect des politiques</w:t>
      </w:r>
      <w:r w:rsidR="00B33706" w:rsidRPr="007D103B">
        <w:t xml:space="preserve"> en vigueur</w:t>
      </w:r>
      <w:r w:rsidR="007829E3" w:rsidRPr="007D103B">
        <w:t xml:space="preserve"> et favoriser la collaboration entre les communautés autochtones et les organismes de santé publique. L</w:t>
      </w:r>
      <w:r w:rsidR="00E91573" w:rsidRPr="007D103B">
        <w:t>a</w:t>
      </w:r>
      <w:r w:rsidR="007829E3" w:rsidRPr="007D103B">
        <w:t xml:space="preserve"> vente illégale aux mineurs </w:t>
      </w:r>
      <w:r w:rsidR="00C612F6" w:rsidRPr="007D103B">
        <w:t xml:space="preserve">et </w:t>
      </w:r>
      <w:r w:rsidR="00B33706" w:rsidRPr="007D103B">
        <w:t xml:space="preserve">le taux de tabagisme </w:t>
      </w:r>
      <w:r w:rsidR="007829E3" w:rsidRPr="007D103B">
        <w:t>ont significativement baissé dans la première année du programme, et les jeunes des communautés participantes ont été formés pour en poursuivre la mise en œuvre.</w:t>
      </w:r>
    </w:p>
    <w:p w14:paraId="75A0C9E9" w14:textId="156A9A90" w:rsidR="004465DE" w:rsidRPr="007D103B" w:rsidRDefault="007829E3" w:rsidP="004465DE">
      <w:pPr>
        <w:pStyle w:val="ListParagraph"/>
        <w:numPr>
          <w:ilvl w:val="0"/>
          <w:numId w:val="4"/>
        </w:numPr>
      </w:pPr>
      <w:r w:rsidRPr="007D103B">
        <w:t>Quel effet peut avoir l’usage cérémoniel du tabac dans les communautés autochtones sur l</w:t>
      </w:r>
      <w:r w:rsidR="007B0CA8" w:rsidRPr="007D103B">
        <w:t>’usage récréatif? Comment la con</w:t>
      </w:r>
      <w:r w:rsidR="006028D1" w:rsidRPr="007D103B">
        <w:t>naissance</w:t>
      </w:r>
      <w:r w:rsidR="007B0CA8" w:rsidRPr="007D103B">
        <w:t xml:space="preserve"> de ce contexte historique devrait-elle influencer l</w:t>
      </w:r>
      <w:r w:rsidR="006028D1" w:rsidRPr="007D103B">
        <w:t>es interventions</w:t>
      </w:r>
      <w:r w:rsidR="007B0CA8" w:rsidRPr="007D103B">
        <w:t xml:space="preserve"> </w:t>
      </w:r>
      <w:r w:rsidR="006028D1" w:rsidRPr="007D103B">
        <w:t>en</w:t>
      </w:r>
      <w:r w:rsidR="007B0CA8" w:rsidRPr="007D103B">
        <w:t xml:space="preserve"> santé publique?</w:t>
      </w:r>
    </w:p>
    <w:p w14:paraId="346EE50F" w14:textId="2FA3EE22" w:rsidR="004465DE" w:rsidRPr="007D103B" w:rsidRDefault="006028D1" w:rsidP="00DC2622">
      <w:pPr>
        <w:pStyle w:val="ListParagraph"/>
        <w:numPr>
          <w:ilvl w:val="0"/>
          <w:numId w:val="4"/>
        </w:numPr>
      </w:pPr>
      <w:r w:rsidRPr="007D103B">
        <w:t>Selon vous, quel était le rôle des relations dans</w:t>
      </w:r>
      <w:r w:rsidR="007B0CA8" w:rsidRPr="007D103B">
        <w:t xml:space="preserve"> le succès de cet effort collaboratif?</w:t>
      </w:r>
    </w:p>
    <w:p w14:paraId="1D563C34" w14:textId="752A56A1" w:rsidR="004322FE" w:rsidRPr="007D103B" w:rsidRDefault="00414458" w:rsidP="007D103B">
      <w:pPr>
        <w:keepNext/>
        <w:keepLines/>
        <w:spacing w:before="240"/>
        <w:rPr>
          <w:b/>
          <w:u w:val="single"/>
        </w:rPr>
      </w:pPr>
      <w:r w:rsidRPr="007D103B">
        <w:rPr>
          <w:b/>
          <w:u w:val="single"/>
        </w:rPr>
        <w:t>L</w:t>
      </w:r>
      <w:r w:rsidR="00F6286F" w:rsidRPr="007D103B">
        <w:rPr>
          <w:b/>
          <w:u w:val="single"/>
        </w:rPr>
        <w:t>es populations marginalisées</w:t>
      </w:r>
      <w:r w:rsidRPr="007D103B">
        <w:rPr>
          <w:b/>
          <w:u w:val="single"/>
        </w:rPr>
        <w:t xml:space="preserve"> comme cibles des programmes</w:t>
      </w:r>
    </w:p>
    <w:p w14:paraId="105062DF" w14:textId="489EE819" w:rsidR="004322FE" w:rsidRPr="007D103B" w:rsidRDefault="00F6286F" w:rsidP="00D37F3A">
      <w:r w:rsidRPr="007D103B">
        <w:t xml:space="preserve">Une </w:t>
      </w:r>
      <w:r w:rsidR="008A4014" w:rsidRPr="007D103B">
        <w:t xml:space="preserve">agence de santé </w:t>
      </w:r>
      <w:r w:rsidRPr="007D103B">
        <w:t>publique planifi</w:t>
      </w:r>
      <w:r w:rsidR="0085034E" w:rsidRPr="007D103B">
        <w:t>e</w:t>
      </w:r>
      <w:r w:rsidRPr="007D103B">
        <w:t xml:space="preserve"> </w:t>
      </w:r>
      <w:r w:rsidR="00EC5464" w:rsidRPr="007D103B">
        <w:t>ses</w:t>
      </w:r>
      <w:r w:rsidRPr="007D103B">
        <w:t xml:space="preserve"> programme</w:t>
      </w:r>
      <w:r w:rsidR="00EC5464" w:rsidRPr="007D103B">
        <w:t>s en fonction</w:t>
      </w:r>
      <w:r w:rsidRPr="007D103B">
        <w:t xml:space="preserve"> </w:t>
      </w:r>
      <w:r w:rsidR="00EC5464" w:rsidRPr="007D103B">
        <w:t xml:space="preserve">des </w:t>
      </w:r>
      <w:r w:rsidRPr="007D103B">
        <w:t xml:space="preserve">nouvelles normes provinciales, qui </w:t>
      </w:r>
      <w:r w:rsidR="00F107BE" w:rsidRPr="007D103B">
        <w:t xml:space="preserve">veulent que </w:t>
      </w:r>
      <w:r w:rsidR="00877EB5" w:rsidRPr="007D103B">
        <w:t>chacun d’eux</w:t>
      </w:r>
      <w:r w:rsidRPr="007D103B">
        <w:t xml:space="preserve"> t</w:t>
      </w:r>
      <w:r w:rsidR="00F107BE" w:rsidRPr="007D103B">
        <w:t>ienne</w:t>
      </w:r>
      <w:r w:rsidRPr="007D103B">
        <w:t xml:space="preserve"> compte des déterminants sociaux de la santé. </w:t>
      </w:r>
      <w:r w:rsidR="002F73AD" w:rsidRPr="007D103B">
        <w:t xml:space="preserve">Les professionnels de la santé publique environnementale </w:t>
      </w:r>
      <w:r w:rsidR="0085034E" w:rsidRPr="007D103B">
        <w:t>commencent</w:t>
      </w:r>
      <w:r w:rsidR="002F73AD" w:rsidRPr="007D103B">
        <w:t xml:space="preserve"> par se pencher sur les directives relatives à la rage</w:t>
      </w:r>
      <w:r w:rsidR="0085034E" w:rsidRPr="007D103B">
        <w:t>.</w:t>
      </w:r>
      <w:r w:rsidR="002F73AD" w:rsidRPr="007D103B">
        <w:t xml:space="preserve"> </w:t>
      </w:r>
      <w:r w:rsidR="0085034E" w:rsidRPr="007D103B">
        <w:t>S</w:t>
      </w:r>
      <w:r w:rsidR="002F73AD" w:rsidRPr="007D103B">
        <w:t xml:space="preserve">achant que les soins vétérinaires sont inaccessibles pour bien des familles à faible revenu </w:t>
      </w:r>
      <w:r w:rsidR="00877EB5" w:rsidRPr="007D103B">
        <w:t xml:space="preserve">qui </w:t>
      </w:r>
      <w:r w:rsidR="0085034E" w:rsidRPr="007D103B">
        <w:t xml:space="preserve">ne </w:t>
      </w:r>
      <w:r w:rsidR="0085034E" w:rsidRPr="007D103B">
        <w:lastRenderedPageBreak/>
        <w:t>p</w:t>
      </w:r>
      <w:r w:rsidR="00F107BE" w:rsidRPr="007D103B">
        <w:t>e</w:t>
      </w:r>
      <w:r w:rsidR="0085034E" w:rsidRPr="007D103B">
        <w:t>uv</w:t>
      </w:r>
      <w:r w:rsidR="00F107BE" w:rsidRPr="007D103B">
        <w:t>e</w:t>
      </w:r>
      <w:r w:rsidR="0085034E" w:rsidRPr="007D103B">
        <w:t xml:space="preserve">nt </w:t>
      </w:r>
      <w:r w:rsidR="00F107BE" w:rsidRPr="007D103B">
        <w:t xml:space="preserve">alors pas </w:t>
      </w:r>
      <w:r w:rsidR="0085034E" w:rsidRPr="007D103B">
        <w:t>faire</w:t>
      </w:r>
      <w:r w:rsidR="002F73AD" w:rsidRPr="007D103B">
        <w:t xml:space="preserve"> vacciner leurs animaux de compagnie à prix réduit</w:t>
      </w:r>
      <w:r w:rsidR="0085034E" w:rsidRPr="007D103B">
        <w:t>,</w:t>
      </w:r>
      <w:r w:rsidR="008A4014" w:rsidRPr="007D103B">
        <w:t xml:space="preserve"> </w:t>
      </w:r>
      <w:r w:rsidR="0085034E" w:rsidRPr="007D103B">
        <w:t>i</w:t>
      </w:r>
      <w:r w:rsidR="002F73AD" w:rsidRPr="007D103B">
        <w:t>ls ont élaboré un programme de bons distribués en fonction du revenu, de l’état du logement et du niveau d’instruction</w:t>
      </w:r>
      <w:r w:rsidR="0085034E" w:rsidRPr="007D103B">
        <w:t>.</w:t>
      </w:r>
      <w:r w:rsidR="002F73AD" w:rsidRPr="007D103B">
        <w:t xml:space="preserve"> </w:t>
      </w:r>
      <w:r w:rsidR="0085034E" w:rsidRPr="007D103B">
        <w:t>Ils ont aussi</w:t>
      </w:r>
      <w:r w:rsidR="002F73AD" w:rsidRPr="007D103B">
        <w:t xml:space="preserve"> </w:t>
      </w:r>
      <w:r w:rsidR="0013157F" w:rsidRPr="007D103B">
        <w:t xml:space="preserve">conçu un arbre de décision visant à </w:t>
      </w:r>
      <w:r w:rsidR="008F4911" w:rsidRPr="007D103B">
        <w:t>fixer</w:t>
      </w:r>
      <w:r w:rsidR="0013157F" w:rsidRPr="007D103B">
        <w:t xml:space="preserve"> le processus d’attribution des bons. La même </w:t>
      </w:r>
      <w:r w:rsidR="004C253F" w:rsidRPr="007D103B">
        <w:t xml:space="preserve">démarche </w:t>
      </w:r>
      <w:r w:rsidR="0085034E" w:rsidRPr="007D103B">
        <w:t>a</w:t>
      </w:r>
      <w:r w:rsidR="0013157F" w:rsidRPr="007D103B">
        <w:t xml:space="preserve"> ensuite été </w:t>
      </w:r>
      <w:r w:rsidR="004C253F" w:rsidRPr="007D103B">
        <w:t>suivie</w:t>
      </w:r>
      <w:r w:rsidR="0013157F" w:rsidRPr="007D103B">
        <w:t xml:space="preserve"> </w:t>
      </w:r>
      <w:r w:rsidR="008F4911" w:rsidRPr="007D103B">
        <w:t>pour définir le traitement</w:t>
      </w:r>
      <w:r w:rsidR="0085034E" w:rsidRPr="007D103B">
        <w:t xml:space="preserve"> des </w:t>
      </w:r>
      <w:r w:rsidR="0013157F" w:rsidRPr="007D103B">
        <w:t xml:space="preserve">plaintes liées aux moisissures </w:t>
      </w:r>
      <w:r w:rsidR="004C253F" w:rsidRPr="007D103B">
        <w:t xml:space="preserve">selon </w:t>
      </w:r>
      <w:r w:rsidR="00877EB5" w:rsidRPr="007D103B">
        <w:t>l</w:t>
      </w:r>
      <w:r w:rsidR="0013157F" w:rsidRPr="007D103B">
        <w:t xml:space="preserve">es zones défavorisées. Dans les deux cas, la méthode de prestation des services a été </w:t>
      </w:r>
      <w:r w:rsidR="008F4911" w:rsidRPr="007D103B">
        <w:t xml:space="preserve">modifiée </w:t>
      </w:r>
      <w:r w:rsidR="0013157F" w:rsidRPr="007D103B">
        <w:t>pour mieux répondre aux besoins des populations les plus vulnérables.</w:t>
      </w:r>
    </w:p>
    <w:p w14:paraId="76EDBF87" w14:textId="0513FE8E" w:rsidR="00DE7FC0" w:rsidRPr="007D103B" w:rsidRDefault="004E450B" w:rsidP="00DE7FC0">
      <w:pPr>
        <w:pStyle w:val="ListParagraph"/>
        <w:numPr>
          <w:ilvl w:val="0"/>
          <w:numId w:val="5"/>
        </w:numPr>
      </w:pPr>
      <w:r w:rsidRPr="007D103B">
        <w:t xml:space="preserve">Quels processus ou outils pourraient vous aider à </w:t>
      </w:r>
      <w:r w:rsidR="00D37F3A" w:rsidRPr="007D103B">
        <w:t xml:space="preserve">cerner </w:t>
      </w:r>
      <w:r w:rsidR="007F35E0" w:rsidRPr="007D103B">
        <w:t xml:space="preserve">les </w:t>
      </w:r>
      <w:r w:rsidR="00D37F3A" w:rsidRPr="007D103B">
        <w:t>possibilités d’élargi</w:t>
      </w:r>
      <w:r w:rsidR="00877EB5" w:rsidRPr="007D103B">
        <w:t>ssement d</w:t>
      </w:r>
      <w:r w:rsidR="00D37F3A" w:rsidRPr="007D103B">
        <w:t xml:space="preserve">es </w:t>
      </w:r>
      <w:r w:rsidR="007F35E0" w:rsidRPr="007D103B">
        <w:t xml:space="preserve">programmes dans votre région? </w:t>
      </w:r>
      <w:r w:rsidR="008A4014" w:rsidRPr="007D103B">
        <w:t>(</w:t>
      </w:r>
      <w:r w:rsidR="007F35E0" w:rsidRPr="007D103B">
        <w:t>Indice </w:t>
      </w:r>
      <w:r w:rsidR="008A4014" w:rsidRPr="007D103B">
        <w:t>:</w:t>
      </w:r>
      <w:r w:rsidR="007F35E0" w:rsidRPr="007D103B">
        <w:t xml:space="preserve"> les évaluations des effets sur l’</w:t>
      </w:r>
      <w:r w:rsidR="008A4014" w:rsidRPr="007D103B">
        <w:t xml:space="preserve">équité en santé </w:t>
      </w:r>
      <w:r w:rsidR="007F35E0" w:rsidRPr="007D103B">
        <w:t>constituent un exemple</w:t>
      </w:r>
      <w:r w:rsidR="00F107BE" w:rsidRPr="007D103B">
        <w:t>.</w:t>
      </w:r>
      <w:r w:rsidR="008A4014" w:rsidRPr="007D103B">
        <w:t>)</w:t>
      </w:r>
    </w:p>
    <w:p w14:paraId="19D998EE" w14:textId="32A47F33" w:rsidR="00DE7FC0" w:rsidRPr="007D103B" w:rsidRDefault="007F35E0" w:rsidP="00DC2622">
      <w:pPr>
        <w:pStyle w:val="ListParagraph"/>
        <w:numPr>
          <w:ilvl w:val="0"/>
          <w:numId w:val="5"/>
        </w:numPr>
      </w:pPr>
      <w:r w:rsidRPr="007D103B">
        <w:t xml:space="preserve">Dans votre région, quels programmes pourraient être mieux ciblés </w:t>
      </w:r>
      <w:r w:rsidR="00F51CBB" w:rsidRPr="007D103B">
        <w:t xml:space="preserve">et ainsi </w:t>
      </w:r>
      <w:r w:rsidR="00A574EB" w:rsidRPr="007D103B">
        <w:t>voir leur acc</w:t>
      </w:r>
      <w:r w:rsidR="00877EB5" w:rsidRPr="007D103B">
        <w:t>essibilité</w:t>
      </w:r>
      <w:r w:rsidR="00A574EB" w:rsidRPr="007D103B">
        <w:t xml:space="preserve"> et leur utilisation augmenter dans</w:t>
      </w:r>
      <w:r w:rsidR="00C06D55" w:rsidRPr="007D103B">
        <w:t xml:space="preserve"> les populations vulnérables ou à risque? Votre région comprend-elle des zones particulièrement à risque?</w:t>
      </w:r>
    </w:p>
    <w:p w14:paraId="4BCC91BE" w14:textId="6BB09F91" w:rsidR="00772D81" w:rsidRPr="007D103B" w:rsidRDefault="00414458" w:rsidP="004226DF">
      <w:pPr>
        <w:keepNext/>
        <w:spacing w:before="240"/>
      </w:pPr>
      <w:r w:rsidRPr="007D103B">
        <w:rPr>
          <w:b/>
          <w:u w:val="single"/>
        </w:rPr>
        <w:t>Le c</w:t>
      </w:r>
      <w:r w:rsidR="00C06D55" w:rsidRPr="007D103B">
        <w:rPr>
          <w:b/>
          <w:u w:val="single"/>
        </w:rPr>
        <w:t xml:space="preserve">adre </w:t>
      </w:r>
      <w:r w:rsidR="0085034E" w:rsidRPr="007D103B">
        <w:rPr>
          <w:b/>
          <w:u w:val="single"/>
        </w:rPr>
        <w:t>des Communautés</w:t>
      </w:r>
      <w:r w:rsidR="00C06D55" w:rsidRPr="007D103B">
        <w:rPr>
          <w:b/>
          <w:u w:val="single"/>
        </w:rPr>
        <w:t xml:space="preserve"> en santé</w:t>
      </w:r>
    </w:p>
    <w:p w14:paraId="01FFF11B" w14:textId="084EFC0C" w:rsidR="00D13001" w:rsidRPr="007D103B" w:rsidRDefault="00C06D55" w:rsidP="00DC2622">
      <w:r w:rsidRPr="007D103B">
        <w:t>Une</w:t>
      </w:r>
      <w:r w:rsidR="008A4014" w:rsidRPr="007D103B">
        <w:t xml:space="preserve"> </w:t>
      </w:r>
      <w:r w:rsidR="0085034E" w:rsidRPr="007D103B">
        <w:t>a</w:t>
      </w:r>
      <w:r w:rsidR="008A4014" w:rsidRPr="007D103B">
        <w:t xml:space="preserve">utorité régionale de santé </w:t>
      </w:r>
      <w:r w:rsidRPr="007D103B">
        <w:t xml:space="preserve">présentant des taux de </w:t>
      </w:r>
      <w:r w:rsidR="008A4014" w:rsidRPr="007D103B">
        <w:t xml:space="preserve">maladie chronique </w:t>
      </w:r>
      <w:r w:rsidRPr="007D103B">
        <w:t>supérieurs à la moyenne a résolu de se concentrer sur la conjugaison des environnements physique, socia</w:t>
      </w:r>
      <w:r w:rsidR="00F51CBB" w:rsidRPr="007D103B">
        <w:t>l</w:t>
      </w:r>
      <w:r w:rsidRPr="007D103B">
        <w:t xml:space="preserve"> et culturel pour aider les gens à faire des choix sains. Un comité </w:t>
      </w:r>
      <w:r w:rsidR="0085034E" w:rsidRPr="007D103B">
        <w:t>Communauté</w:t>
      </w:r>
      <w:r w:rsidR="00A349EE" w:rsidRPr="007D103B">
        <w:t xml:space="preserve"> en santé </w:t>
      </w:r>
      <w:r w:rsidRPr="007D103B">
        <w:t xml:space="preserve">composé de représentants </w:t>
      </w:r>
      <w:r w:rsidR="00202333" w:rsidRPr="007D103B">
        <w:t>des municipalités</w:t>
      </w:r>
      <w:r w:rsidRPr="007D103B">
        <w:t xml:space="preserve"> et d’organismes communautaires, de leaders locaux, de citoyens et d</w:t>
      </w:r>
      <w:r w:rsidR="00A349EE" w:rsidRPr="007D103B">
        <w:t>e p</w:t>
      </w:r>
      <w:r w:rsidR="00976A72" w:rsidRPr="007D103B">
        <w:t>rofessionnels</w:t>
      </w:r>
      <w:r w:rsidR="00A349EE" w:rsidRPr="007D103B">
        <w:t xml:space="preserve"> de la santé publique et des soins </w:t>
      </w:r>
      <w:r w:rsidR="00976A72" w:rsidRPr="007D103B">
        <w:t>de courte durée</w:t>
      </w:r>
      <w:r w:rsidR="00A349EE" w:rsidRPr="007D103B">
        <w:t xml:space="preserve"> a été </w:t>
      </w:r>
      <w:r w:rsidR="00525E1E" w:rsidRPr="007D103B">
        <w:t>mis sur pied</w:t>
      </w:r>
      <w:r w:rsidR="00A349EE" w:rsidRPr="007D103B">
        <w:t xml:space="preserve">. Le personnel affecté à la </w:t>
      </w:r>
      <w:r w:rsidR="008A4014" w:rsidRPr="007D103B">
        <w:t xml:space="preserve">santé environnementale </w:t>
      </w:r>
      <w:r w:rsidR="00A349EE" w:rsidRPr="007D103B">
        <w:t xml:space="preserve">est formé pour </w:t>
      </w:r>
      <w:r w:rsidR="00525E1E" w:rsidRPr="007D103B">
        <w:t xml:space="preserve">accomplir </w:t>
      </w:r>
      <w:r w:rsidR="00A349EE" w:rsidRPr="007D103B">
        <w:t>différent</w:t>
      </w:r>
      <w:r w:rsidR="00525E1E" w:rsidRPr="007D103B">
        <w:t>e</w:t>
      </w:r>
      <w:r w:rsidR="00A349EE" w:rsidRPr="007D103B">
        <w:t xml:space="preserve">s </w:t>
      </w:r>
      <w:r w:rsidR="00525E1E" w:rsidRPr="007D103B">
        <w:t>tâches</w:t>
      </w:r>
      <w:r w:rsidR="00A349EE" w:rsidRPr="007D103B">
        <w:t> : cerner les besoins collectifs, collaborer avec les autres agences, fixer les priorités, fournir des données relatives à la santé</w:t>
      </w:r>
      <w:r w:rsidR="00976A72" w:rsidRPr="007D103B">
        <w:t>,</w:t>
      </w:r>
      <w:r w:rsidR="00A349EE" w:rsidRPr="007D103B">
        <w:t xml:space="preserve"> identifier les ressources communautaires, tenir des ateliers de sensibilisation, revendiquer des changements politiques et </w:t>
      </w:r>
      <w:r w:rsidR="002B7F77" w:rsidRPr="007D103B">
        <w:t>établir la communication</w:t>
      </w:r>
      <w:r w:rsidR="00A349EE" w:rsidRPr="007D103B">
        <w:t xml:space="preserve"> entre les organismes de santé publique et la collectivité.</w:t>
      </w:r>
    </w:p>
    <w:p w14:paraId="52D14C6F" w14:textId="5776CB5C" w:rsidR="00DE7FC0" w:rsidRPr="007D103B" w:rsidRDefault="00A349EE" w:rsidP="00DE7FC0">
      <w:pPr>
        <w:pStyle w:val="ListParagraph"/>
        <w:numPr>
          <w:ilvl w:val="0"/>
          <w:numId w:val="6"/>
        </w:numPr>
      </w:pPr>
      <w:r w:rsidRPr="007D103B">
        <w:t xml:space="preserve">En quoi l’approche </w:t>
      </w:r>
      <w:r w:rsidR="00976A72" w:rsidRPr="007D103B">
        <w:t>des Communautés</w:t>
      </w:r>
      <w:r w:rsidRPr="007D103B">
        <w:t xml:space="preserve"> en santé diffère-t-elle des approches </w:t>
      </w:r>
      <w:r w:rsidR="00976A72" w:rsidRPr="007D103B">
        <w:t xml:space="preserve">traditionnelles </w:t>
      </w:r>
      <w:r w:rsidRPr="007D103B">
        <w:t>de protection de la santé? Quels sont les points positifs et n</w:t>
      </w:r>
      <w:r w:rsidR="00976A72" w:rsidRPr="007D103B">
        <w:t>ég</w:t>
      </w:r>
      <w:r w:rsidRPr="007D103B">
        <w:t xml:space="preserve">atifs de chacune de ces approches en ce qui a trait </w:t>
      </w:r>
      <w:r w:rsidR="00525E1E" w:rsidRPr="007D103B">
        <w:t>à l</w:t>
      </w:r>
      <w:r w:rsidRPr="007D103B">
        <w:t xml:space="preserve">’équité en santé et </w:t>
      </w:r>
      <w:r w:rsidR="00525E1E" w:rsidRPr="007D103B">
        <w:t>à l</w:t>
      </w:r>
      <w:r w:rsidRPr="007D103B">
        <w:t>’efficacité des programmes?</w:t>
      </w:r>
    </w:p>
    <w:p w14:paraId="157F41FA" w14:textId="5E631C7C" w:rsidR="00DE7FC0" w:rsidRPr="007D103B" w:rsidRDefault="00A349EE" w:rsidP="007D103B">
      <w:pPr>
        <w:pStyle w:val="ListParagraph"/>
        <w:numPr>
          <w:ilvl w:val="0"/>
          <w:numId w:val="6"/>
        </w:numPr>
      </w:pPr>
      <w:r w:rsidRPr="007D103B">
        <w:t>Les professionnels de la santé publique environnementale ont-ils les compétences requises pour travaille</w:t>
      </w:r>
      <w:r w:rsidR="00976A72" w:rsidRPr="007D103B">
        <w:t>r</w:t>
      </w:r>
      <w:r w:rsidRPr="007D103B">
        <w:t xml:space="preserve"> en ce sens? Comment </w:t>
      </w:r>
      <w:r w:rsidR="00525E1E" w:rsidRPr="007D103B">
        <w:t xml:space="preserve">pourrait-on accroître </w:t>
      </w:r>
      <w:r w:rsidRPr="007D103B">
        <w:t xml:space="preserve">la </w:t>
      </w:r>
      <w:r w:rsidR="00525E1E" w:rsidRPr="007D103B">
        <w:t xml:space="preserve">capacité de </w:t>
      </w:r>
      <w:r w:rsidRPr="007D103B">
        <w:t>collaboration, que ce soit maintenant ou plus tard?</w:t>
      </w:r>
    </w:p>
    <w:sectPr w:rsidR="00DE7FC0" w:rsidRPr="007D103B" w:rsidSect="00E815DD">
      <w:headerReference w:type="even" r:id="rId12"/>
      <w:headerReference w:type="default" r:id="rId13"/>
      <w:footerReference w:type="even" r:id="rId14"/>
      <w:footerReference w:type="default" r:id="rId15"/>
      <w:headerReference w:type="first" r:id="rId16"/>
      <w:footerReference w:type="first" r:id="rId17"/>
      <w:pgSz w:w="12240" w:h="15840"/>
      <w:pgMar w:top="1560" w:right="1440" w:bottom="1440"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BBEFD" w14:textId="77777777" w:rsidR="00E7474F" w:rsidRDefault="00E7474F">
      <w:pPr>
        <w:spacing w:after="0" w:line="240" w:lineRule="auto"/>
      </w:pPr>
      <w:r>
        <w:separator/>
      </w:r>
    </w:p>
  </w:endnote>
  <w:endnote w:type="continuationSeparator" w:id="0">
    <w:p w14:paraId="2C370A43" w14:textId="77777777" w:rsidR="00E7474F" w:rsidRDefault="00E7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3BD8E" w14:textId="77777777" w:rsidR="00607852" w:rsidRDefault="00607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C0BAF" w14:textId="0EC007E6" w:rsidR="00320E92" w:rsidRPr="007D103B" w:rsidRDefault="008A4014">
    <w:pPr>
      <w:pStyle w:val="Footer"/>
    </w:pPr>
    <w:r w:rsidRPr="007D103B">
      <w:t>VERSION</w:t>
    </w:r>
    <w:r w:rsidR="0027450B" w:rsidRPr="007D103B">
      <w:t> </w:t>
    </w:r>
    <w:r w:rsidRPr="007D103B">
      <w:t>: 16</w:t>
    </w:r>
    <w:r w:rsidR="0027450B" w:rsidRPr="007D103B">
      <w:t> </w:t>
    </w:r>
    <w:r w:rsidRPr="007D103B">
      <w:t>novembre</w:t>
    </w:r>
    <w:r w:rsidR="0027450B" w:rsidRPr="007D103B">
      <w:t> </w:t>
    </w:r>
    <w:r w:rsidRPr="007D103B">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6C6B6" w14:textId="77777777" w:rsidR="00607852" w:rsidRDefault="00607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96988" w14:textId="77777777" w:rsidR="00E7474F" w:rsidRDefault="00E7474F">
      <w:pPr>
        <w:spacing w:after="0" w:line="240" w:lineRule="auto"/>
      </w:pPr>
      <w:r>
        <w:separator/>
      </w:r>
    </w:p>
  </w:footnote>
  <w:footnote w:type="continuationSeparator" w:id="0">
    <w:p w14:paraId="5E45F1E0" w14:textId="77777777" w:rsidR="00E7474F" w:rsidRDefault="00E74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B6BA7" w14:textId="77777777" w:rsidR="00607852" w:rsidRDefault="006078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93D85" w14:textId="77777777" w:rsidR="006170CB" w:rsidRPr="007D0234" w:rsidRDefault="007D0234" w:rsidP="006170CB">
    <w:pPr>
      <w:pStyle w:val="Heading1"/>
      <w:jc w:val="center"/>
      <w:rPr>
        <w:i/>
        <w:lang w:val="fr-CA"/>
      </w:rPr>
    </w:pPr>
    <w:r w:rsidRPr="007D103B">
      <w:rPr>
        <w:i/>
        <w:lang w:val="fr-CA"/>
      </w:rPr>
      <w:t>Trousse d’outils pour ateliers sur l’équité en santé publique environnementale</w:t>
    </w:r>
  </w:p>
  <w:p w14:paraId="7B69F25A" w14:textId="77777777" w:rsidR="006170CB" w:rsidRPr="007D0234" w:rsidRDefault="001A04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329EA" w14:textId="77777777" w:rsidR="00607852" w:rsidRDefault="00607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C39"/>
    <w:multiLevelType w:val="hybridMultilevel"/>
    <w:tmpl w:val="CD1E78CA"/>
    <w:lvl w:ilvl="0" w:tplc="868AD268">
      <w:start w:val="1"/>
      <w:numFmt w:val="bullet"/>
      <w:lvlText w:val=""/>
      <w:lvlJc w:val="left"/>
      <w:pPr>
        <w:ind w:left="720" w:hanging="360"/>
      </w:pPr>
      <w:rPr>
        <w:rFonts w:ascii="Symbol" w:hAnsi="Symbol" w:hint="default"/>
      </w:rPr>
    </w:lvl>
    <w:lvl w:ilvl="1" w:tplc="8B9A2A06" w:tentative="1">
      <w:start w:val="1"/>
      <w:numFmt w:val="bullet"/>
      <w:lvlText w:val="o"/>
      <w:lvlJc w:val="left"/>
      <w:pPr>
        <w:ind w:left="1440" w:hanging="360"/>
      </w:pPr>
      <w:rPr>
        <w:rFonts w:ascii="Courier New" w:hAnsi="Courier New" w:cs="Courier New" w:hint="default"/>
      </w:rPr>
    </w:lvl>
    <w:lvl w:ilvl="2" w:tplc="A2169076" w:tentative="1">
      <w:start w:val="1"/>
      <w:numFmt w:val="bullet"/>
      <w:lvlText w:val=""/>
      <w:lvlJc w:val="left"/>
      <w:pPr>
        <w:ind w:left="2160" w:hanging="360"/>
      </w:pPr>
      <w:rPr>
        <w:rFonts w:ascii="Wingdings" w:hAnsi="Wingdings" w:hint="default"/>
      </w:rPr>
    </w:lvl>
    <w:lvl w:ilvl="3" w:tplc="835493D4" w:tentative="1">
      <w:start w:val="1"/>
      <w:numFmt w:val="bullet"/>
      <w:lvlText w:val=""/>
      <w:lvlJc w:val="left"/>
      <w:pPr>
        <w:ind w:left="2880" w:hanging="360"/>
      </w:pPr>
      <w:rPr>
        <w:rFonts w:ascii="Symbol" w:hAnsi="Symbol" w:hint="default"/>
      </w:rPr>
    </w:lvl>
    <w:lvl w:ilvl="4" w:tplc="B24CBBEC" w:tentative="1">
      <w:start w:val="1"/>
      <w:numFmt w:val="bullet"/>
      <w:lvlText w:val="o"/>
      <w:lvlJc w:val="left"/>
      <w:pPr>
        <w:ind w:left="3600" w:hanging="360"/>
      </w:pPr>
      <w:rPr>
        <w:rFonts w:ascii="Courier New" w:hAnsi="Courier New" w:cs="Courier New" w:hint="default"/>
      </w:rPr>
    </w:lvl>
    <w:lvl w:ilvl="5" w:tplc="D0FAB6E6" w:tentative="1">
      <w:start w:val="1"/>
      <w:numFmt w:val="bullet"/>
      <w:lvlText w:val=""/>
      <w:lvlJc w:val="left"/>
      <w:pPr>
        <w:ind w:left="4320" w:hanging="360"/>
      </w:pPr>
      <w:rPr>
        <w:rFonts w:ascii="Wingdings" w:hAnsi="Wingdings" w:hint="default"/>
      </w:rPr>
    </w:lvl>
    <w:lvl w:ilvl="6" w:tplc="28C46486" w:tentative="1">
      <w:start w:val="1"/>
      <w:numFmt w:val="bullet"/>
      <w:lvlText w:val=""/>
      <w:lvlJc w:val="left"/>
      <w:pPr>
        <w:ind w:left="5040" w:hanging="360"/>
      </w:pPr>
      <w:rPr>
        <w:rFonts w:ascii="Symbol" w:hAnsi="Symbol" w:hint="default"/>
      </w:rPr>
    </w:lvl>
    <w:lvl w:ilvl="7" w:tplc="F30CC97C" w:tentative="1">
      <w:start w:val="1"/>
      <w:numFmt w:val="bullet"/>
      <w:lvlText w:val="o"/>
      <w:lvlJc w:val="left"/>
      <w:pPr>
        <w:ind w:left="5760" w:hanging="360"/>
      </w:pPr>
      <w:rPr>
        <w:rFonts w:ascii="Courier New" w:hAnsi="Courier New" w:cs="Courier New" w:hint="default"/>
      </w:rPr>
    </w:lvl>
    <w:lvl w:ilvl="8" w:tplc="3B583072" w:tentative="1">
      <w:start w:val="1"/>
      <w:numFmt w:val="bullet"/>
      <w:lvlText w:val=""/>
      <w:lvlJc w:val="left"/>
      <w:pPr>
        <w:ind w:left="6480" w:hanging="360"/>
      </w:pPr>
      <w:rPr>
        <w:rFonts w:ascii="Wingdings" w:hAnsi="Wingdings" w:hint="default"/>
      </w:rPr>
    </w:lvl>
  </w:abstractNum>
  <w:abstractNum w:abstractNumId="1">
    <w:nsid w:val="0992684C"/>
    <w:multiLevelType w:val="hybridMultilevel"/>
    <w:tmpl w:val="D7DEF552"/>
    <w:lvl w:ilvl="0" w:tplc="1AD24602">
      <w:start w:val="1"/>
      <w:numFmt w:val="bullet"/>
      <w:lvlText w:val=""/>
      <w:lvlJc w:val="left"/>
      <w:pPr>
        <w:ind w:left="720" w:hanging="360"/>
      </w:pPr>
      <w:rPr>
        <w:rFonts w:ascii="Symbol" w:hAnsi="Symbol" w:hint="default"/>
      </w:rPr>
    </w:lvl>
    <w:lvl w:ilvl="1" w:tplc="4370B2C4" w:tentative="1">
      <w:start w:val="1"/>
      <w:numFmt w:val="bullet"/>
      <w:lvlText w:val="o"/>
      <w:lvlJc w:val="left"/>
      <w:pPr>
        <w:ind w:left="1440" w:hanging="360"/>
      </w:pPr>
      <w:rPr>
        <w:rFonts w:ascii="Courier New" w:hAnsi="Courier New" w:cs="Courier New" w:hint="default"/>
      </w:rPr>
    </w:lvl>
    <w:lvl w:ilvl="2" w:tplc="9370DAC4" w:tentative="1">
      <w:start w:val="1"/>
      <w:numFmt w:val="bullet"/>
      <w:lvlText w:val=""/>
      <w:lvlJc w:val="left"/>
      <w:pPr>
        <w:ind w:left="2160" w:hanging="360"/>
      </w:pPr>
      <w:rPr>
        <w:rFonts w:ascii="Wingdings" w:hAnsi="Wingdings" w:hint="default"/>
      </w:rPr>
    </w:lvl>
    <w:lvl w:ilvl="3" w:tplc="4C9EC562" w:tentative="1">
      <w:start w:val="1"/>
      <w:numFmt w:val="bullet"/>
      <w:lvlText w:val=""/>
      <w:lvlJc w:val="left"/>
      <w:pPr>
        <w:ind w:left="2880" w:hanging="360"/>
      </w:pPr>
      <w:rPr>
        <w:rFonts w:ascii="Symbol" w:hAnsi="Symbol" w:hint="default"/>
      </w:rPr>
    </w:lvl>
    <w:lvl w:ilvl="4" w:tplc="E2A202E0" w:tentative="1">
      <w:start w:val="1"/>
      <w:numFmt w:val="bullet"/>
      <w:lvlText w:val="o"/>
      <w:lvlJc w:val="left"/>
      <w:pPr>
        <w:ind w:left="3600" w:hanging="360"/>
      </w:pPr>
      <w:rPr>
        <w:rFonts w:ascii="Courier New" w:hAnsi="Courier New" w:cs="Courier New" w:hint="default"/>
      </w:rPr>
    </w:lvl>
    <w:lvl w:ilvl="5" w:tplc="A2D41F0A" w:tentative="1">
      <w:start w:val="1"/>
      <w:numFmt w:val="bullet"/>
      <w:lvlText w:val=""/>
      <w:lvlJc w:val="left"/>
      <w:pPr>
        <w:ind w:left="4320" w:hanging="360"/>
      </w:pPr>
      <w:rPr>
        <w:rFonts w:ascii="Wingdings" w:hAnsi="Wingdings" w:hint="default"/>
      </w:rPr>
    </w:lvl>
    <w:lvl w:ilvl="6" w:tplc="063C6A6E" w:tentative="1">
      <w:start w:val="1"/>
      <w:numFmt w:val="bullet"/>
      <w:lvlText w:val=""/>
      <w:lvlJc w:val="left"/>
      <w:pPr>
        <w:ind w:left="5040" w:hanging="360"/>
      </w:pPr>
      <w:rPr>
        <w:rFonts w:ascii="Symbol" w:hAnsi="Symbol" w:hint="default"/>
      </w:rPr>
    </w:lvl>
    <w:lvl w:ilvl="7" w:tplc="82C43374" w:tentative="1">
      <w:start w:val="1"/>
      <w:numFmt w:val="bullet"/>
      <w:lvlText w:val="o"/>
      <w:lvlJc w:val="left"/>
      <w:pPr>
        <w:ind w:left="5760" w:hanging="360"/>
      </w:pPr>
      <w:rPr>
        <w:rFonts w:ascii="Courier New" w:hAnsi="Courier New" w:cs="Courier New" w:hint="default"/>
      </w:rPr>
    </w:lvl>
    <w:lvl w:ilvl="8" w:tplc="50F403AA" w:tentative="1">
      <w:start w:val="1"/>
      <w:numFmt w:val="bullet"/>
      <w:lvlText w:val=""/>
      <w:lvlJc w:val="left"/>
      <w:pPr>
        <w:ind w:left="6480" w:hanging="360"/>
      </w:pPr>
      <w:rPr>
        <w:rFonts w:ascii="Wingdings" w:hAnsi="Wingdings" w:hint="default"/>
      </w:rPr>
    </w:lvl>
  </w:abstractNum>
  <w:abstractNum w:abstractNumId="2">
    <w:nsid w:val="2A9D76EF"/>
    <w:multiLevelType w:val="hybridMultilevel"/>
    <w:tmpl w:val="019037EC"/>
    <w:lvl w:ilvl="0" w:tplc="42F63B88">
      <w:start w:val="1"/>
      <w:numFmt w:val="bullet"/>
      <w:lvlText w:val=""/>
      <w:lvlJc w:val="left"/>
      <w:pPr>
        <w:ind w:left="720" w:hanging="360"/>
      </w:pPr>
      <w:rPr>
        <w:rFonts w:ascii="Symbol" w:hAnsi="Symbol" w:hint="default"/>
      </w:rPr>
    </w:lvl>
    <w:lvl w:ilvl="1" w:tplc="58AC31A8" w:tentative="1">
      <w:start w:val="1"/>
      <w:numFmt w:val="bullet"/>
      <w:lvlText w:val="o"/>
      <w:lvlJc w:val="left"/>
      <w:pPr>
        <w:ind w:left="1440" w:hanging="360"/>
      </w:pPr>
      <w:rPr>
        <w:rFonts w:ascii="Courier New" w:hAnsi="Courier New" w:cs="Courier New" w:hint="default"/>
      </w:rPr>
    </w:lvl>
    <w:lvl w:ilvl="2" w:tplc="8250B2E0" w:tentative="1">
      <w:start w:val="1"/>
      <w:numFmt w:val="bullet"/>
      <w:lvlText w:val=""/>
      <w:lvlJc w:val="left"/>
      <w:pPr>
        <w:ind w:left="2160" w:hanging="360"/>
      </w:pPr>
      <w:rPr>
        <w:rFonts w:ascii="Wingdings" w:hAnsi="Wingdings" w:hint="default"/>
      </w:rPr>
    </w:lvl>
    <w:lvl w:ilvl="3" w:tplc="CB9A7E5C" w:tentative="1">
      <w:start w:val="1"/>
      <w:numFmt w:val="bullet"/>
      <w:lvlText w:val=""/>
      <w:lvlJc w:val="left"/>
      <w:pPr>
        <w:ind w:left="2880" w:hanging="360"/>
      </w:pPr>
      <w:rPr>
        <w:rFonts w:ascii="Symbol" w:hAnsi="Symbol" w:hint="default"/>
      </w:rPr>
    </w:lvl>
    <w:lvl w:ilvl="4" w:tplc="ED2A2E10" w:tentative="1">
      <w:start w:val="1"/>
      <w:numFmt w:val="bullet"/>
      <w:lvlText w:val="o"/>
      <w:lvlJc w:val="left"/>
      <w:pPr>
        <w:ind w:left="3600" w:hanging="360"/>
      </w:pPr>
      <w:rPr>
        <w:rFonts w:ascii="Courier New" w:hAnsi="Courier New" w:cs="Courier New" w:hint="default"/>
      </w:rPr>
    </w:lvl>
    <w:lvl w:ilvl="5" w:tplc="9BF0B828" w:tentative="1">
      <w:start w:val="1"/>
      <w:numFmt w:val="bullet"/>
      <w:lvlText w:val=""/>
      <w:lvlJc w:val="left"/>
      <w:pPr>
        <w:ind w:left="4320" w:hanging="360"/>
      </w:pPr>
      <w:rPr>
        <w:rFonts w:ascii="Wingdings" w:hAnsi="Wingdings" w:hint="default"/>
      </w:rPr>
    </w:lvl>
    <w:lvl w:ilvl="6" w:tplc="7CAA2872" w:tentative="1">
      <w:start w:val="1"/>
      <w:numFmt w:val="bullet"/>
      <w:lvlText w:val=""/>
      <w:lvlJc w:val="left"/>
      <w:pPr>
        <w:ind w:left="5040" w:hanging="360"/>
      </w:pPr>
      <w:rPr>
        <w:rFonts w:ascii="Symbol" w:hAnsi="Symbol" w:hint="default"/>
      </w:rPr>
    </w:lvl>
    <w:lvl w:ilvl="7" w:tplc="2B88551E" w:tentative="1">
      <w:start w:val="1"/>
      <w:numFmt w:val="bullet"/>
      <w:lvlText w:val="o"/>
      <w:lvlJc w:val="left"/>
      <w:pPr>
        <w:ind w:left="5760" w:hanging="360"/>
      </w:pPr>
      <w:rPr>
        <w:rFonts w:ascii="Courier New" w:hAnsi="Courier New" w:cs="Courier New" w:hint="default"/>
      </w:rPr>
    </w:lvl>
    <w:lvl w:ilvl="8" w:tplc="B1B062CA" w:tentative="1">
      <w:start w:val="1"/>
      <w:numFmt w:val="bullet"/>
      <w:lvlText w:val=""/>
      <w:lvlJc w:val="left"/>
      <w:pPr>
        <w:ind w:left="6480" w:hanging="360"/>
      </w:pPr>
      <w:rPr>
        <w:rFonts w:ascii="Wingdings" w:hAnsi="Wingdings" w:hint="default"/>
      </w:rPr>
    </w:lvl>
  </w:abstractNum>
  <w:abstractNum w:abstractNumId="3">
    <w:nsid w:val="3C096D60"/>
    <w:multiLevelType w:val="hybridMultilevel"/>
    <w:tmpl w:val="8E2A85EC"/>
    <w:lvl w:ilvl="0" w:tplc="FBD6045C">
      <w:start w:val="1"/>
      <w:numFmt w:val="bullet"/>
      <w:lvlText w:val=""/>
      <w:lvlJc w:val="left"/>
      <w:pPr>
        <w:ind w:left="720" w:hanging="360"/>
      </w:pPr>
      <w:rPr>
        <w:rFonts w:ascii="Symbol" w:hAnsi="Symbol" w:hint="default"/>
      </w:rPr>
    </w:lvl>
    <w:lvl w:ilvl="1" w:tplc="B538DE52" w:tentative="1">
      <w:start w:val="1"/>
      <w:numFmt w:val="bullet"/>
      <w:lvlText w:val="o"/>
      <w:lvlJc w:val="left"/>
      <w:pPr>
        <w:ind w:left="1440" w:hanging="360"/>
      </w:pPr>
      <w:rPr>
        <w:rFonts w:ascii="Courier New" w:hAnsi="Courier New" w:cs="Courier New" w:hint="default"/>
      </w:rPr>
    </w:lvl>
    <w:lvl w:ilvl="2" w:tplc="9ACE7FB2" w:tentative="1">
      <w:start w:val="1"/>
      <w:numFmt w:val="bullet"/>
      <w:lvlText w:val=""/>
      <w:lvlJc w:val="left"/>
      <w:pPr>
        <w:ind w:left="2160" w:hanging="360"/>
      </w:pPr>
      <w:rPr>
        <w:rFonts w:ascii="Wingdings" w:hAnsi="Wingdings" w:hint="default"/>
      </w:rPr>
    </w:lvl>
    <w:lvl w:ilvl="3" w:tplc="2C46FF14" w:tentative="1">
      <w:start w:val="1"/>
      <w:numFmt w:val="bullet"/>
      <w:lvlText w:val=""/>
      <w:lvlJc w:val="left"/>
      <w:pPr>
        <w:ind w:left="2880" w:hanging="360"/>
      </w:pPr>
      <w:rPr>
        <w:rFonts w:ascii="Symbol" w:hAnsi="Symbol" w:hint="default"/>
      </w:rPr>
    </w:lvl>
    <w:lvl w:ilvl="4" w:tplc="266C5B6E" w:tentative="1">
      <w:start w:val="1"/>
      <w:numFmt w:val="bullet"/>
      <w:lvlText w:val="o"/>
      <w:lvlJc w:val="left"/>
      <w:pPr>
        <w:ind w:left="3600" w:hanging="360"/>
      </w:pPr>
      <w:rPr>
        <w:rFonts w:ascii="Courier New" w:hAnsi="Courier New" w:cs="Courier New" w:hint="default"/>
      </w:rPr>
    </w:lvl>
    <w:lvl w:ilvl="5" w:tplc="F434FD8C" w:tentative="1">
      <w:start w:val="1"/>
      <w:numFmt w:val="bullet"/>
      <w:lvlText w:val=""/>
      <w:lvlJc w:val="left"/>
      <w:pPr>
        <w:ind w:left="4320" w:hanging="360"/>
      </w:pPr>
      <w:rPr>
        <w:rFonts w:ascii="Wingdings" w:hAnsi="Wingdings" w:hint="default"/>
      </w:rPr>
    </w:lvl>
    <w:lvl w:ilvl="6" w:tplc="83DADDE0" w:tentative="1">
      <w:start w:val="1"/>
      <w:numFmt w:val="bullet"/>
      <w:lvlText w:val=""/>
      <w:lvlJc w:val="left"/>
      <w:pPr>
        <w:ind w:left="5040" w:hanging="360"/>
      </w:pPr>
      <w:rPr>
        <w:rFonts w:ascii="Symbol" w:hAnsi="Symbol" w:hint="default"/>
      </w:rPr>
    </w:lvl>
    <w:lvl w:ilvl="7" w:tplc="5866B8A6" w:tentative="1">
      <w:start w:val="1"/>
      <w:numFmt w:val="bullet"/>
      <w:lvlText w:val="o"/>
      <w:lvlJc w:val="left"/>
      <w:pPr>
        <w:ind w:left="5760" w:hanging="360"/>
      </w:pPr>
      <w:rPr>
        <w:rFonts w:ascii="Courier New" w:hAnsi="Courier New" w:cs="Courier New" w:hint="default"/>
      </w:rPr>
    </w:lvl>
    <w:lvl w:ilvl="8" w:tplc="619AD3F6" w:tentative="1">
      <w:start w:val="1"/>
      <w:numFmt w:val="bullet"/>
      <w:lvlText w:val=""/>
      <w:lvlJc w:val="left"/>
      <w:pPr>
        <w:ind w:left="6480" w:hanging="360"/>
      </w:pPr>
      <w:rPr>
        <w:rFonts w:ascii="Wingdings" w:hAnsi="Wingdings" w:hint="default"/>
      </w:rPr>
    </w:lvl>
  </w:abstractNum>
  <w:abstractNum w:abstractNumId="4">
    <w:nsid w:val="451632C3"/>
    <w:multiLevelType w:val="hybridMultilevel"/>
    <w:tmpl w:val="484010AA"/>
    <w:lvl w:ilvl="0" w:tplc="AAE6C034">
      <w:start w:val="1"/>
      <w:numFmt w:val="bullet"/>
      <w:lvlText w:val=""/>
      <w:lvlJc w:val="left"/>
      <w:pPr>
        <w:ind w:left="720" w:hanging="360"/>
      </w:pPr>
      <w:rPr>
        <w:rFonts w:ascii="Symbol" w:hAnsi="Symbol" w:hint="default"/>
      </w:rPr>
    </w:lvl>
    <w:lvl w:ilvl="1" w:tplc="15ACE62A" w:tentative="1">
      <w:start w:val="1"/>
      <w:numFmt w:val="bullet"/>
      <w:lvlText w:val="o"/>
      <w:lvlJc w:val="left"/>
      <w:pPr>
        <w:ind w:left="1440" w:hanging="360"/>
      </w:pPr>
      <w:rPr>
        <w:rFonts w:ascii="Courier New" w:hAnsi="Courier New" w:cs="Courier New" w:hint="default"/>
      </w:rPr>
    </w:lvl>
    <w:lvl w:ilvl="2" w:tplc="98D234F4" w:tentative="1">
      <w:start w:val="1"/>
      <w:numFmt w:val="bullet"/>
      <w:lvlText w:val=""/>
      <w:lvlJc w:val="left"/>
      <w:pPr>
        <w:ind w:left="2160" w:hanging="360"/>
      </w:pPr>
      <w:rPr>
        <w:rFonts w:ascii="Wingdings" w:hAnsi="Wingdings" w:hint="default"/>
      </w:rPr>
    </w:lvl>
    <w:lvl w:ilvl="3" w:tplc="D780F270" w:tentative="1">
      <w:start w:val="1"/>
      <w:numFmt w:val="bullet"/>
      <w:lvlText w:val=""/>
      <w:lvlJc w:val="left"/>
      <w:pPr>
        <w:ind w:left="2880" w:hanging="360"/>
      </w:pPr>
      <w:rPr>
        <w:rFonts w:ascii="Symbol" w:hAnsi="Symbol" w:hint="default"/>
      </w:rPr>
    </w:lvl>
    <w:lvl w:ilvl="4" w:tplc="7CA42C84" w:tentative="1">
      <w:start w:val="1"/>
      <w:numFmt w:val="bullet"/>
      <w:lvlText w:val="o"/>
      <w:lvlJc w:val="left"/>
      <w:pPr>
        <w:ind w:left="3600" w:hanging="360"/>
      </w:pPr>
      <w:rPr>
        <w:rFonts w:ascii="Courier New" w:hAnsi="Courier New" w:cs="Courier New" w:hint="default"/>
      </w:rPr>
    </w:lvl>
    <w:lvl w:ilvl="5" w:tplc="42CE4B6A" w:tentative="1">
      <w:start w:val="1"/>
      <w:numFmt w:val="bullet"/>
      <w:lvlText w:val=""/>
      <w:lvlJc w:val="left"/>
      <w:pPr>
        <w:ind w:left="4320" w:hanging="360"/>
      </w:pPr>
      <w:rPr>
        <w:rFonts w:ascii="Wingdings" w:hAnsi="Wingdings" w:hint="default"/>
      </w:rPr>
    </w:lvl>
    <w:lvl w:ilvl="6" w:tplc="8A2ACD3A" w:tentative="1">
      <w:start w:val="1"/>
      <w:numFmt w:val="bullet"/>
      <w:lvlText w:val=""/>
      <w:lvlJc w:val="left"/>
      <w:pPr>
        <w:ind w:left="5040" w:hanging="360"/>
      </w:pPr>
      <w:rPr>
        <w:rFonts w:ascii="Symbol" w:hAnsi="Symbol" w:hint="default"/>
      </w:rPr>
    </w:lvl>
    <w:lvl w:ilvl="7" w:tplc="CA0E1A72" w:tentative="1">
      <w:start w:val="1"/>
      <w:numFmt w:val="bullet"/>
      <w:lvlText w:val="o"/>
      <w:lvlJc w:val="left"/>
      <w:pPr>
        <w:ind w:left="5760" w:hanging="360"/>
      </w:pPr>
      <w:rPr>
        <w:rFonts w:ascii="Courier New" w:hAnsi="Courier New" w:cs="Courier New" w:hint="default"/>
      </w:rPr>
    </w:lvl>
    <w:lvl w:ilvl="8" w:tplc="CD4699BA" w:tentative="1">
      <w:start w:val="1"/>
      <w:numFmt w:val="bullet"/>
      <w:lvlText w:val=""/>
      <w:lvlJc w:val="left"/>
      <w:pPr>
        <w:ind w:left="6480" w:hanging="360"/>
      </w:pPr>
      <w:rPr>
        <w:rFonts w:ascii="Wingdings" w:hAnsi="Wingdings" w:hint="default"/>
      </w:rPr>
    </w:lvl>
  </w:abstractNum>
  <w:abstractNum w:abstractNumId="5">
    <w:nsid w:val="62BE66AE"/>
    <w:multiLevelType w:val="hybridMultilevel"/>
    <w:tmpl w:val="F8CAEFDE"/>
    <w:lvl w:ilvl="0" w:tplc="6A828194">
      <w:start w:val="1"/>
      <w:numFmt w:val="bullet"/>
      <w:lvlText w:val=""/>
      <w:lvlJc w:val="left"/>
      <w:pPr>
        <w:ind w:left="720" w:hanging="360"/>
      </w:pPr>
      <w:rPr>
        <w:rFonts w:ascii="Symbol" w:hAnsi="Symbol" w:hint="default"/>
      </w:rPr>
    </w:lvl>
    <w:lvl w:ilvl="1" w:tplc="80629E76" w:tentative="1">
      <w:start w:val="1"/>
      <w:numFmt w:val="bullet"/>
      <w:lvlText w:val="o"/>
      <w:lvlJc w:val="left"/>
      <w:pPr>
        <w:ind w:left="1440" w:hanging="360"/>
      </w:pPr>
      <w:rPr>
        <w:rFonts w:ascii="Courier New" w:hAnsi="Courier New" w:cs="Courier New" w:hint="default"/>
      </w:rPr>
    </w:lvl>
    <w:lvl w:ilvl="2" w:tplc="AA68D970" w:tentative="1">
      <w:start w:val="1"/>
      <w:numFmt w:val="bullet"/>
      <w:lvlText w:val=""/>
      <w:lvlJc w:val="left"/>
      <w:pPr>
        <w:ind w:left="2160" w:hanging="360"/>
      </w:pPr>
      <w:rPr>
        <w:rFonts w:ascii="Wingdings" w:hAnsi="Wingdings" w:hint="default"/>
      </w:rPr>
    </w:lvl>
    <w:lvl w:ilvl="3" w:tplc="2C58B9E8" w:tentative="1">
      <w:start w:val="1"/>
      <w:numFmt w:val="bullet"/>
      <w:lvlText w:val=""/>
      <w:lvlJc w:val="left"/>
      <w:pPr>
        <w:ind w:left="2880" w:hanging="360"/>
      </w:pPr>
      <w:rPr>
        <w:rFonts w:ascii="Symbol" w:hAnsi="Symbol" w:hint="default"/>
      </w:rPr>
    </w:lvl>
    <w:lvl w:ilvl="4" w:tplc="8DC2EB04" w:tentative="1">
      <w:start w:val="1"/>
      <w:numFmt w:val="bullet"/>
      <w:lvlText w:val="o"/>
      <w:lvlJc w:val="left"/>
      <w:pPr>
        <w:ind w:left="3600" w:hanging="360"/>
      </w:pPr>
      <w:rPr>
        <w:rFonts w:ascii="Courier New" w:hAnsi="Courier New" w:cs="Courier New" w:hint="default"/>
      </w:rPr>
    </w:lvl>
    <w:lvl w:ilvl="5" w:tplc="825EBB88" w:tentative="1">
      <w:start w:val="1"/>
      <w:numFmt w:val="bullet"/>
      <w:lvlText w:val=""/>
      <w:lvlJc w:val="left"/>
      <w:pPr>
        <w:ind w:left="4320" w:hanging="360"/>
      </w:pPr>
      <w:rPr>
        <w:rFonts w:ascii="Wingdings" w:hAnsi="Wingdings" w:hint="default"/>
      </w:rPr>
    </w:lvl>
    <w:lvl w:ilvl="6" w:tplc="FE56B5F6" w:tentative="1">
      <w:start w:val="1"/>
      <w:numFmt w:val="bullet"/>
      <w:lvlText w:val=""/>
      <w:lvlJc w:val="left"/>
      <w:pPr>
        <w:ind w:left="5040" w:hanging="360"/>
      </w:pPr>
      <w:rPr>
        <w:rFonts w:ascii="Symbol" w:hAnsi="Symbol" w:hint="default"/>
      </w:rPr>
    </w:lvl>
    <w:lvl w:ilvl="7" w:tplc="457AEC4E" w:tentative="1">
      <w:start w:val="1"/>
      <w:numFmt w:val="bullet"/>
      <w:lvlText w:val="o"/>
      <w:lvlJc w:val="left"/>
      <w:pPr>
        <w:ind w:left="5760" w:hanging="360"/>
      </w:pPr>
      <w:rPr>
        <w:rFonts w:ascii="Courier New" w:hAnsi="Courier New" w:cs="Courier New" w:hint="default"/>
      </w:rPr>
    </w:lvl>
    <w:lvl w:ilvl="8" w:tplc="28C698A2"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oNotTrackMoves/>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D274934-616F-4675-AD1A-767FBA77BC25}"/>
    <w:docVar w:name="dgnword-eventsink" w:val="2789286865104"/>
  </w:docVars>
  <w:rsids>
    <w:rsidRoot w:val="007D0234"/>
    <w:rsid w:val="000123C9"/>
    <w:rsid w:val="000474DC"/>
    <w:rsid w:val="00062574"/>
    <w:rsid w:val="00111F52"/>
    <w:rsid w:val="0013157F"/>
    <w:rsid w:val="00143DE0"/>
    <w:rsid w:val="0018257D"/>
    <w:rsid w:val="001A0470"/>
    <w:rsid w:val="001D3963"/>
    <w:rsid w:val="001E1DF9"/>
    <w:rsid w:val="001E68C7"/>
    <w:rsid w:val="00202333"/>
    <w:rsid w:val="00236F10"/>
    <w:rsid w:val="00241E37"/>
    <w:rsid w:val="0026129C"/>
    <w:rsid w:val="0027450B"/>
    <w:rsid w:val="002A61F8"/>
    <w:rsid w:val="002B78F9"/>
    <w:rsid w:val="002B7F77"/>
    <w:rsid w:val="002E4E44"/>
    <w:rsid w:val="002F73AD"/>
    <w:rsid w:val="00300035"/>
    <w:rsid w:val="00305A45"/>
    <w:rsid w:val="0037032A"/>
    <w:rsid w:val="003A64D3"/>
    <w:rsid w:val="003A7E4F"/>
    <w:rsid w:val="003B6D7D"/>
    <w:rsid w:val="00414458"/>
    <w:rsid w:val="00421E68"/>
    <w:rsid w:val="00421FBD"/>
    <w:rsid w:val="00484866"/>
    <w:rsid w:val="004850BB"/>
    <w:rsid w:val="00486CB7"/>
    <w:rsid w:val="004932C6"/>
    <w:rsid w:val="004C253F"/>
    <w:rsid w:val="004E450B"/>
    <w:rsid w:val="004E787C"/>
    <w:rsid w:val="00525E1E"/>
    <w:rsid w:val="00544600"/>
    <w:rsid w:val="00562302"/>
    <w:rsid w:val="0058016F"/>
    <w:rsid w:val="005B31E2"/>
    <w:rsid w:val="005B69F3"/>
    <w:rsid w:val="005C5716"/>
    <w:rsid w:val="005F6E3F"/>
    <w:rsid w:val="006028D1"/>
    <w:rsid w:val="00607852"/>
    <w:rsid w:val="006128BF"/>
    <w:rsid w:val="006371BC"/>
    <w:rsid w:val="00650775"/>
    <w:rsid w:val="0065691E"/>
    <w:rsid w:val="00665FF5"/>
    <w:rsid w:val="00683635"/>
    <w:rsid w:val="006C5D2C"/>
    <w:rsid w:val="006D60BF"/>
    <w:rsid w:val="006D6850"/>
    <w:rsid w:val="006E4A89"/>
    <w:rsid w:val="00741F60"/>
    <w:rsid w:val="007829E3"/>
    <w:rsid w:val="00797BAA"/>
    <w:rsid w:val="007B0CA8"/>
    <w:rsid w:val="007B7533"/>
    <w:rsid w:val="007C4F01"/>
    <w:rsid w:val="007D0234"/>
    <w:rsid w:val="007D103B"/>
    <w:rsid w:val="007D31C9"/>
    <w:rsid w:val="007E2E7E"/>
    <w:rsid w:val="007E5DF0"/>
    <w:rsid w:val="007F35E0"/>
    <w:rsid w:val="0085034E"/>
    <w:rsid w:val="008743AE"/>
    <w:rsid w:val="00877EB5"/>
    <w:rsid w:val="008A4014"/>
    <w:rsid w:val="008A40BE"/>
    <w:rsid w:val="008B6C62"/>
    <w:rsid w:val="008C471E"/>
    <w:rsid w:val="008F4911"/>
    <w:rsid w:val="008F7026"/>
    <w:rsid w:val="008F7CFC"/>
    <w:rsid w:val="009519FD"/>
    <w:rsid w:val="00955549"/>
    <w:rsid w:val="00976A72"/>
    <w:rsid w:val="00982D89"/>
    <w:rsid w:val="009E5217"/>
    <w:rsid w:val="00A045F4"/>
    <w:rsid w:val="00A349EE"/>
    <w:rsid w:val="00A36D3A"/>
    <w:rsid w:val="00A574EB"/>
    <w:rsid w:val="00A90123"/>
    <w:rsid w:val="00AA211B"/>
    <w:rsid w:val="00AE245C"/>
    <w:rsid w:val="00AF55E3"/>
    <w:rsid w:val="00B22270"/>
    <w:rsid w:val="00B32682"/>
    <w:rsid w:val="00B33706"/>
    <w:rsid w:val="00BC4ECA"/>
    <w:rsid w:val="00BE62C9"/>
    <w:rsid w:val="00BF3C55"/>
    <w:rsid w:val="00BF5E83"/>
    <w:rsid w:val="00C06D55"/>
    <w:rsid w:val="00C17897"/>
    <w:rsid w:val="00C45924"/>
    <w:rsid w:val="00C46ACD"/>
    <w:rsid w:val="00C612F6"/>
    <w:rsid w:val="00C74740"/>
    <w:rsid w:val="00CA3A47"/>
    <w:rsid w:val="00CB71E2"/>
    <w:rsid w:val="00CD113D"/>
    <w:rsid w:val="00CE4E99"/>
    <w:rsid w:val="00D04007"/>
    <w:rsid w:val="00D06FA2"/>
    <w:rsid w:val="00D37F3A"/>
    <w:rsid w:val="00D9210E"/>
    <w:rsid w:val="00DB5F4B"/>
    <w:rsid w:val="00DE3C23"/>
    <w:rsid w:val="00DF12E3"/>
    <w:rsid w:val="00DF365D"/>
    <w:rsid w:val="00E05D12"/>
    <w:rsid w:val="00E47782"/>
    <w:rsid w:val="00E7474F"/>
    <w:rsid w:val="00E815DD"/>
    <w:rsid w:val="00E91573"/>
    <w:rsid w:val="00E9580F"/>
    <w:rsid w:val="00EC5464"/>
    <w:rsid w:val="00F02580"/>
    <w:rsid w:val="00F107BE"/>
    <w:rsid w:val="00F165E9"/>
    <w:rsid w:val="00F168FF"/>
    <w:rsid w:val="00F344ED"/>
    <w:rsid w:val="00F51CBB"/>
    <w:rsid w:val="00F6286F"/>
    <w:rsid w:val="00FB2079"/>
    <w:rsid w:val="00FC6DC6"/>
    <w:rsid w:val="00FD67C6"/>
    <w:rsid w:val="00FF0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71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1">
    <w:name w:val="heading 1"/>
    <w:basedOn w:val="Normal"/>
    <w:next w:val="Normal"/>
    <w:link w:val="Heading1Char"/>
    <w:uiPriority w:val="9"/>
    <w:qFormat/>
    <w:rsid w:val="006170CB"/>
    <w:pPr>
      <w:keepNext/>
      <w:keepLines/>
      <w:spacing w:before="240" w:after="0" w:line="288" w:lineRule="auto"/>
      <w:outlineLvl w:val="0"/>
    </w:pPr>
    <w:rPr>
      <w:rFonts w:asciiTheme="majorHAnsi" w:eastAsiaTheme="majorEastAsia" w:hAnsiTheme="majorHAnsi" w:cstheme="majorBidi"/>
      <w:color w:val="2F5496" w:themeColor="accent1" w:themeShade="BF"/>
      <w:sz w:val="32"/>
      <w:szCs w:val="32"/>
      <w:lang w:val="en-CA"/>
    </w:rPr>
  </w:style>
  <w:style w:type="paragraph" w:styleId="Heading3">
    <w:name w:val="heading 3"/>
    <w:basedOn w:val="Normal"/>
    <w:next w:val="Normal"/>
    <w:link w:val="Heading3Char"/>
    <w:uiPriority w:val="9"/>
    <w:semiHidden/>
    <w:unhideWhenUsed/>
    <w:qFormat/>
    <w:rsid w:val="00B45C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721D"/>
    <w:rPr>
      <w:sz w:val="16"/>
      <w:szCs w:val="16"/>
    </w:rPr>
  </w:style>
  <w:style w:type="paragraph" w:styleId="CommentText">
    <w:name w:val="annotation text"/>
    <w:basedOn w:val="Normal"/>
    <w:link w:val="CommentTextChar"/>
    <w:uiPriority w:val="99"/>
    <w:semiHidden/>
    <w:unhideWhenUsed/>
    <w:rsid w:val="0012721D"/>
    <w:pPr>
      <w:spacing w:line="240" w:lineRule="auto"/>
    </w:pPr>
    <w:rPr>
      <w:sz w:val="20"/>
      <w:szCs w:val="20"/>
    </w:rPr>
  </w:style>
  <w:style w:type="character" w:customStyle="1" w:styleId="CommentTextChar">
    <w:name w:val="Comment Text Char"/>
    <w:basedOn w:val="DefaultParagraphFont"/>
    <w:link w:val="CommentText"/>
    <w:uiPriority w:val="99"/>
    <w:semiHidden/>
    <w:rsid w:val="0012721D"/>
    <w:rPr>
      <w:sz w:val="20"/>
      <w:szCs w:val="20"/>
    </w:rPr>
  </w:style>
  <w:style w:type="paragraph" w:styleId="CommentSubject">
    <w:name w:val="annotation subject"/>
    <w:basedOn w:val="CommentText"/>
    <w:next w:val="CommentText"/>
    <w:link w:val="CommentSubjectChar"/>
    <w:uiPriority w:val="99"/>
    <w:semiHidden/>
    <w:unhideWhenUsed/>
    <w:rsid w:val="0012721D"/>
    <w:rPr>
      <w:b/>
      <w:bCs/>
    </w:rPr>
  </w:style>
  <w:style w:type="character" w:customStyle="1" w:styleId="CommentSubjectChar">
    <w:name w:val="Comment Subject Char"/>
    <w:basedOn w:val="CommentTextChar"/>
    <w:link w:val="CommentSubject"/>
    <w:uiPriority w:val="99"/>
    <w:semiHidden/>
    <w:rsid w:val="0012721D"/>
    <w:rPr>
      <w:b/>
      <w:bCs/>
      <w:sz w:val="20"/>
      <w:szCs w:val="20"/>
    </w:rPr>
  </w:style>
  <w:style w:type="paragraph" w:styleId="BalloonText">
    <w:name w:val="Balloon Text"/>
    <w:basedOn w:val="Normal"/>
    <w:link w:val="BalloonTextChar"/>
    <w:uiPriority w:val="99"/>
    <w:semiHidden/>
    <w:unhideWhenUsed/>
    <w:rsid w:val="00127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21D"/>
    <w:rPr>
      <w:rFonts w:ascii="Tahoma" w:hAnsi="Tahoma" w:cs="Tahoma"/>
      <w:sz w:val="16"/>
      <w:szCs w:val="16"/>
    </w:rPr>
  </w:style>
  <w:style w:type="character" w:styleId="IntenseReference">
    <w:name w:val="Intense Reference"/>
    <w:basedOn w:val="DefaultParagraphFont"/>
    <w:uiPriority w:val="32"/>
    <w:qFormat/>
    <w:rsid w:val="00C66CC1"/>
    <w:rPr>
      <w:b/>
      <w:bCs/>
      <w:smallCaps/>
      <w:color w:val="4472C4" w:themeColor="accent1"/>
      <w:spacing w:val="5"/>
    </w:rPr>
  </w:style>
  <w:style w:type="character" w:customStyle="1" w:styleId="Heading3Char">
    <w:name w:val="Heading 3 Char"/>
    <w:basedOn w:val="DefaultParagraphFont"/>
    <w:link w:val="Heading3"/>
    <w:uiPriority w:val="9"/>
    <w:semiHidden/>
    <w:rsid w:val="00B45CE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45CE5"/>
    <w:rPr>
      <w:color w:val="0563C1" w:themeColor="hyperlink"/>
      <w:u w:val="single"/>
    </w:rPr>
  </w:style>
  <w:style w:type="character" w:customStyle="1" w:styleId="Mentionnonrsolue1">
    <w:name w:val="Mention non résolue1"/>
    <w:basedOn w:val="DefaultParagraphFont"/>
    <w:uiPriority w:val="99"/>
    <w:semiHidden/>
    <w:unhideWhenUsed/>
    <w:rsid w:val="00B45CE5"/>
    <w:rPr>
      <w:color w:val="808080"/>
      <w:shd w:val="clear" w:color="auto" w:fill="E6E6E6"/>
    </w:rPr>
  </w:style>
  <w:style w:type="paragraph" w:styleId="Subtitle">
    <w:name w:val="Subtitle"/>
    <w:basedOn w:val="Normal"/>
    <w:next w:val="Normal"/>
    <w:link w:val="SubtitleChar"/>
    <w:uiPriority w:val="11"/>
    <w:qFormat/>
    <w:rsid w:val="00B45CE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5CE5"/>
    <w:rPr>
      <w:rFonts w:eastAsiaTheme="minorEastAsia"/>
      <w:color w:val="5A5A5A" w:themeColor="text1" w:themeTint="A5"/>
      <w:spacing w:val="15"/>
    </w:rPr>
  </w:style>
  <w:style w:type="character" w:styleId="SubtleReference">
    <w:name w:val="Subtle Reference"/>
    <w:basedOn w:val="DefaultParagraphFont"/>
    <w:uiPriority w:val="31"/>
    <w:qFormat/>
    <w:rsid w:val="00B45CE5"/>
    <w:rPr>
      <w:smallCaps/>
      <w:color w:val="5A5A5A" w:themeColor="text1" w:themeTint="A5"/>
    </w:rPr>
  </w:style>
  <w:style w:type="paragraph" w:styleId="Header">
    <w:name w:val="header"/>
    <w:basedOn w:val="Normal"/>
    <w:link w:val="HeaderChar"/>
    <w:uiPriority w:val="99"/>
    <w:unhideWhenUsed/>
    <w:rsid w:val="00617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0CB"/>
  </w:style>
  <w:style w:type="paragraph" w:styleId="Footer">
    <w:name w:val="footer"/>
    <w:basedOn w:val="Normal"/>
    <w:link w:val="FooterChar"/>
    <w:uiPriority w:val="99"/>
    <w:unhideWhenUsed/>
    <w:rsid w:val="00617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0CB"/>
  </w:style>
  <w:style w:type="character" w:customStyle="1" w:styleId="Heading1Char">
    <w:name w:val="Heading 1 Char"/>
    <w:basedOn w:val="DefaultParagraphFont"/>
    <w:link w:val="Heading1"/>
    <w:uiPriority w:val="9"/>
    <w:rsid w:val="006170CB"/>
    <w:rPr>
      <w:rFonts w:asciiTheme="majorHAnsi" w:eastAsiaTheme="majorEastAsia" w:hAnsiTheme="majorHAnsi" w:cstheme="majorBidi"/>
      <w:color w:val="2F5496" w:themeColor="accent1" w:themeShade="BF"/>
      <w:sz w:val="32"/>
      <w:szCs w:val="32"/>
      <w:lang w:val="en-CA"/>
    </w:rPr>
  </w:style>
  <w:style w:type="paragraph" w:styleId="ListParagraph">
    <w:name w:val="List Paragraph"/>
    <w:basedOn w:val="Normal"/>
    <w:uiPriority w:val="34"/>
    <w:qFormat/>
    <w:rsid w:val="00A56617"/>
    <w:pPr>
      <w:ind w:left="720"/>
      <w:contextualSpacing/>
    </w:pPr>
  </w:style>
  <w:style w:type="character" w:customStyle="1" w:styleId="UnresolvedMention">
    <w:name w:val="Unresolved Mention"/>
    <w:basedOn w:val="DefaultParagraphFont"/>
    <w:uiPriority w:val="99"/>
    <w:semiHidden/>
    <w:unhideWhenUsed/>
    <w:rsid w:val="000123C9"/>
    <w:rPr>
      <w:color w:val="605E5C"/>
      <w:shd w:val="clear" w:color="auto" w:fill="E1DFDD"/>
    </w:rPr>
  </w:style>
  <w:style w:type="paragraph" w:styleId="Revision">
    <w:name w:val="Revision"/>
    <w:hidden/>
    <w:uiPriority w:val="99"/>
    <w:semiHidden/>
    <w:rsid w:val="005F6E3F"/>
    <w:pPr>
      <w:spacing w:after="0" w:line="240" w:lineRule="auto"/>
    </w:pPr>
    <w:rPr>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1">
    <w:name w:val="heading 1"/>
    <w:basedOn w:val="Normal"/>
    <w:next w:val="Normal"/>
    <w:link w:val="Heading1Char"/>
    <w:uiPriority w:val="9"/>
    <w:qFormat/>
    <w:rsid w:val="006170CB"/>
    <w:pPr>
      <w:keepNext/>
      <w:keepLines/>
      <w:spacing w:before="240" w:after="0" w:line="288" w:lineRule="auto"/>
      <w:outlineLvl w:val="0"/>
    </w:pPr>
    <w:rPr>
      <w:rFonts w:asciiTheme="majorHAnsi" w:eastAsiaTheme="majorEastAsia" w:hAnsiTheme="majorHAnsi" w:cstheme="majorBidi"/>
      <w:color w:val="2F5496" w:themeColor="accent1" w:themeShade="BF"/>
      <w:sz w:val="32"/>
      <w:szCs w:val="32"/>
      <w:lang w:val="en-CA"/>
    </w:rPr>
  </w:style>
  <w:style w:type="paragraph" w:styleId="Heading3">
    <w:name w:val="heading 3"/>
    <w:basedOn w:val="Normal"/>
    <w:next w:val="Normal"/>
    <w:link w:val="Heading3Char"/>
    <w:uiPriority w:val="9"/>
    <w:semiHidden/>
    <w:unhideWhenUsed/>
    <w:qFormat/>
    <w:rsid w:val="00B45C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721D"/>
    <w:rPr>
      <w:sz w:val="16"/>
      <w:szCs w:val="16"/>
    </w:rPr>
  </w:style>
  <w:style w:type="paragraph" w:styleId="CommentText">
    <w:name w:val="annotation text"/>
    <w:basedOn w:val="Normal"/>
    <w:link w:val="CommentTextChar"/>
    <w:uiPriority w:val="99"/>
    <w:semiHidden/>
    <w:unhideWhenUsed/>
    <w:rsid w:val="0012721D"/>
    <w:pPr>
      <w:spacing w:line="240" w:lineRule="auto"/>
    </w:pPr>
    <w:rPr>
      <w:sz w:val="20"/>
      <w:szCs w:val="20"/>
    </w:rPr>
  </w:style>
  <w:style w:type="character" w:customStyle="1" w:styleId="CommentTextChar">
    <w:name w:val="Comment Text Char"/>
    <w:basedOn w:val="DefaultParagraphFont"/>
    <w:link w:val="CommentText"/>
    <w:uiPriority w:val="99"/>
    <w:semiHidden/>
    <w:rsid w:val="0012721D"/>
    <w:rPr>
      <w:sz w:val="20"/>
      <w:szCs w:val="20"/>
    </w:rPr>
  </w:style>
  <w:style w:type="paragraph" w:styleId="CommentSubject">
    <w:name w:val="annotation subject"/>
    <w:basedOn w:val="CommentText"/>
    <w:next w:val="CommentText"/>
    <w:link w:val="CommentSubjectChar"/>
    <w:uiPriority w:val="99"/>
    <w:semiHidden/>
    <w:unhideWhenUsed/>
    <w:rsid w:val="0012721D"/>
    <w:rPr>
      <w:b/>
      <w:bCs/>
    </w:rPr>
  </w:style>
  <w:style w:type="character" w:customStyle="1" w:styleId="CommentSubjectChar">
    <w:name w:val="Comment Subject Char"/>
    <w:basedOn w:val="CommentTextChar"/>
    <w:link w:val="CommentSubject"/>
    <w:uiPriority w:val="99"/>
    <w:semiHidden/>
    <w:rsid w:val="0012721D"/>
    <w:rPr>
      <w:b/>
      <w:bCs/>
      <w:sz w:val="20"/>
      <w:szCs w:val="20"/>
    </w:rPr>
  </w:style>
  <w:style w:type="paragraph" w:styleId="BalloonText">
    <w:name w:val="Balloon Text"/>
    <w:basedOn w:val="Normal"/>
    <w:link w:val="BalloonTextChar"/>
    <w:uiPriority w:val="99"/>
    <w:semiHidden/>
    <w:unhideWhenUsed/>
    <w:rsid w:val="00127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21D"/>
    <w:rPr>
      <w:rFonts w:ascii="Tahoma" w:hAnsi="Tahoma" w:cs="Tahoma"/>
      <w:sz w:val="16"/>
      <w:szCs w:val="16"/>
    </w:rPr>
  </w:style>
  <w:style w:type="character" w:styleId="IntenseReference">
    <w:name w:val="Intense Reference"/>
    <w:basedOn w:val="DefaultParagraphFont"/>
    <w:uiPriority w:val="32"/>
    <w:qFormat/>
    <w:rsid w:val="00C66CC1"/>
    <w:rPr>
      <w:b/>
      <w:bCs/>
      <w:smallCaps/>
      <w:color w:val="4472C4" w:themeColor="accent1"/>
      <w:spacing w:val="5"/>
    </w:rPr>
  </w:style>
  <w:style w:type="character" w:customStyle="1" w:styleId="Heading3Char">
    <w:name w:val="Heading 3 Char"/>
    <w:basedOn w:val="DefaultParagraphFont"/>
    <w:link w:val="Heading3"/>
    <w:uiPriority w:val="9"/>
    <w:semiHidden/>
    <w:rsid w:val="00B45CE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45CE5"/>
    <w:rPr>
      <w:color w:val="0563C1" w:themeColor="hyperlink"/>
      <w:u w:val="single"/>
    </w:rPr>
  </w:style>
  <w:style w:type="character" w:customStyle="1" w:styleId="Mentionnonrsolue1">
    <w:name w:val="Mention non résolue1"/>
    <w:basedOn w:val="DefaultParagraphFont"/>
    <w:uiPriority w:val="99"/>
    <w:semiHidden/>
    <w:unhideWhenUsed/>
    <w:rsid w:val="00B45CE5"/>
    <w:rPr>
      <w:color w:val="808080"/>
      <w:shd w:val="clear" w:color="auto" w:fill="E6E6E6"/>
    </w:rPr>
  </w:style>
  <w:style w:type="paragraph" w:styleId="Subtitle">
    <w:name w:val="Subtitle"/>
    <w:basedOn w:val="Normal"/>
    <w:next w:val="Normal"/>
    <w:link w:val="SubtitleChar"/>
    <w:uiPriority w:val="11"/>
    <w:qFormat/>
    <w:rsid w:val="00B45CE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5CE5"/>
    <w:rPr>
      <w:rFonts w:eastAsiaTheme="minorEastAsia"/>
      <w:color w:val="5A5A5A" w:themeColor="text1" w:themeTint="A5"/>
      <w:spacing w:val="15"/>
    </w:rPr>
  </w:style>
  <w:style w:type="character" w:styleId="SubtleReference">
    <w:name w:val="Subtle Reference"/>
    <w:basedOn w:val="DefaultParagraphFont"/>
    <w:uiPriority w:val="31"/>
    <w:qFormat/>
    <w:rsid w:val="00B45CE5"/>
    <w:rPr>
      <w:smallCaps/>
      <w:color w:val="5A5A5A" w:themeColor="text1" w:themeTint="A5"/>
    </w:rPr>
  </w:style>
  <w:style w:type="paragraph" w:styleId="Header">
    <w:name w:val="header"/>
    <w:basedOn w:val="Normal"/>
    <w:link w:val="HeaderChar"/>
    <w:uiPriority w:val="99"/>
    <w:unhideWhenUsed/>
    <w:rsid w:val="00617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0CB"/>
  </w:style>
  <w:style w:type="paragraph" w:styleId="Footer">
    <w:name w:val="footer"/>
    <w:basedOn w:val="Normal"/>
    <w:link w:val="FooterChar"/>
    <w:uiPriority w:val="99"/>
    <w:unhideWhenUsed/>
    <w:rsid w:val="00617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0CB"/>
  </w:style>
  <w:style w:type="character" w:customStyle="1" w:styleId="Heading1Char">
    <w:name w:val="Heading 1 Char"/>
    <w:basedOn w:val="DefaultParagraphFont"/>
    <w:link w:val="Heading1"/>
    <w:uiPriority w:val="9"/>
    <w:rsid w:val="006170CB"/>
    <w:rPr>
      <w:rFonts w:asciiTheme="majorHAnsi" w:eastAsiaTheme="majorEastAsia" w:hAnsiTheme="majorHAnsi" w:cstheme="majorBidi"/>
      <w:color w:val="2F5496" w:themeColor="accent1" w:themeShade="BF"/>
      <w:sz w:val="32"/>
      <w:szCs w:val="32"/>
      <w:lang w:val="en-CA"/>
    </w:rPr>
  </w:style>
  <w:style w:type="paragraph" w:styleId="ListParagraph">
    <w:name w:val="List Paragraph"/>
    <w:basedOn w:val="Normal"/>
    <w:uiPriority w:val="34"/>
    <w:qFormat/>
    <w:rsid w:val="00A56617"/>
    <w:pPr>
      <w:ind w:left="720"/>
      <w:contextualSpacing/>
    </w:pPr>
  </w:style>
  <w:style w:type="character" w:customStyle="1" w:styleId="UnresolvedMention">
    <w:name w:val="Unresolved Mention"/>
    <w:basedOn w:val="DefaultParagraphFont"/>
    <w:uiPriority w:val="99"/>
    <w:semiHidden/>
    <w:unhideWhenUsed/>
    <w:rsid w:val="000123C9"/>
    <w:rPr>
      <w:color w:val="605E5C"/>
      <w:shd w:val="clear" w:color="auto" w:fill="E1DFDD"/>
    </w:rPr>
  </w:style>
  <w:style w:type="paragraph" w:styleId="Revision">
    <w:name w:val="Revision"/>
    <w:hidden/>
    <w:uiPriority w:val="99"/>
    <w:semiHidden/>
    <w:rsid w:val="005F6E3F"/>
    <w:pPr>
      <w:spacing w:after="0" w:line="240" w:lineRule="auto"/>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E157DFA19A3FFD4F80D0469ADC363A00" ma:contentTypeVersion="9" ma:contentTypeDescription="Create a new document." ma:contentTypeScope="" ma:versionID="99bebdff1f42fd1e658056fb63fa30bc">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e36369f956aa94e82d4b5d374d1a892a"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udience1 xmlns="4de64c37-ebdf-406a-9f1b-af099cf715f4">
      <Value>Health Professionals</Value>
    </Audience1>
    <k05366dfea714127ab8826af69afb524 xmlns="2a1cf95e-a2cb-4d0f-9c16-7db7b13007cf">
      <Terms xmlns="http://schemas.microsoft.com/office/infopath/2007/PartnerControls"/>
    </k05366dfea714127ab8826af69afb524>
    <TaxCatchAll xmlns="2a1cf95e-a2cb-4d0f-9c16-7db7b13007cf">
      <Value>194</Value>
    </TaxCatchAll>
    <DocumentLanguage xmlns="4de64c37-ebdf-406a-9f1b-af099cf715f4" xsi:nil="true"/>
    <HideDocument xmlns="2a1cf95e-a2cb-4d0f-9c16-7db7b13007cf">false</HideDocument>
    <DocumentDescription xmlns="4de64c37-ebdf-406a-9f1b-af099cf715f4" xsi:nil="true"/>
    <d54dd449c2c54af89444c3906a20b699 xmlns="2a1cf95e-a2cb-4d0f-9c16-7db7b13007cf">
      <Terms xmlns="http://schemas.microsoft.com/office/infopath/2007/PartnerControls">
        <TermInfo xmlns="http://schemas.microsoft.com/office/infopath/2007/PartnerControls">
          <TermName xmlns="http://schemas.microsoft.com/office/infopath/2007/PartnerControls">Population ＆ Public Health Report</TermName>
          <TermId xmlns="http://schemas.microsoft.com/office/infopath/2007/PartnerControls">ba088e30-df66-4f9e-951c-1f0a77de49f0</TermId>
        </TermInfo>
      </Terms>
    </d54dd449c2c54af89444c3906a20b699>
    <_dlc_DocId xmlns="2a1cf95e-a2cb-4d0f-9c16-7db7b13007cf">BCCDC-1957235667-317</_dlc_DocId>
    <_dlc_DocIdUrl xmlns="2a1cf95e-a2cb-4d0f-9c16-7db7b13007cf">
      <Url>https://editbccdc.phsa.ca/pop-public-health/_layouts/15/DocIdRedir.aspx?ID=BCCDC-1957235667-317</Url>
      <Description>BCCDC-1957235667-317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0B09C-F3EC-489C-9A97-C383E1169EB7}">
  <ds:schemaRefs>
    <ds:schemaRef ds:uri="http://schemas.microsoft.com/sharepoint/events"/>
  </ds:schemaRefs>
</ds:datastoreItem>
</file>

<file path=customXml/itemProps2.xml><?xml version="1.0" encoding="utf-8"?>
<ds:datastoreItem xmlns:ds="http://schemas.openxmlformats.org/officeDocument/2006/customXml" ds:itemID="{0A3F9628-6617-40F6-8040-D6CB6E72A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cf95e-a2cb-4d0f-9c16-7db7b13007cf"/>
    <ds:schemaRef ds:uri="4de64c37-ebdf-406a-9f1b-af099cf71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8D5F8-8F83-4C5A-B662-755B07609950}">
  <ds:schemaRefs>
    <ds:schemaRef ds:uri="http://purl.org/dc/terms/"/>
    <ds:schemaRef ds:uri="4de64c37-ebdf-406a-9f1b-af099cf715f4"/>
    <ds:schemaRef ds:uri="2a1cf95e-a2cb-4d0f-9c16-7db7b13007cf"/>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C97B5D7-B705-43D1-BCCF-B68EC92C6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1692</Words>
  <Characters>9650</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scenario review exercise</vt:lpstr>
      <vt:lpstr>scenario review exercise</vt:lpstr>
    </vt:vector>
  </TitlesOfParts>
  <Company>Health Shared Services BC</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review exercise</dc:title>
  <dc:creator>Dianne Oickle</dc:creator>
  <cp:lastModifiedBy>Bonamis, Linda</cp:lastModifiedBy>
  <cp:revision>2</cp:revision>
  <dcterms:created xsi:type="dcterms:W3CDTF">2019-01-10T21:59:00Z</dcterms:created>
  <dcterms:modified xsi:type="dcterms:W3CDTF">2019-01-10T21:59:00Z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0x010100DA361FFC15F23349803C3C69CD01CD2300E157DFA19A3FFD4F80D0469ADC363A00</vt:lpwstr>
  </property>
  <property fmtid="{D5CDD505-2E9C-101B-9397-08002B2CF9AE}" pid="3" name="ResourceCategory">
    <vt:lpwstr>194;#Population ＆ Public Health Report|ba088e30-df66-4f9e-951c-1f0a77de49f0</vt:lpwstr>
  </property>
  <property fmtid="{D5CDD505-2E9C-101B-9397-08002B2CF9AE}" pid="4" name="ResourceType">
    <vt:lpwstr/>
  </property>
  <property fmtid="{D5CDD505-2E9C-101B-9397-08002B2CF9AE}" pid="5" name="_dlc_DocIdItemGuid">
    <vt:lpwstr>009181fb-52cd-44ce-a0b4-5addb8909e9a</vt:lpwstr>
  </property>
</Properties>
</file>