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3908" w14:textId="2075840D" w:rsidR="005142D9" w:rsidRPr="009D4134" w:rsidRDefault="00E30FE8" w:rsidP="005142D9">
      <w:pPr>
        <w:pStyle w:val="Heading2"/>
        <w:rPr>
          <w:b/>
          <w:i/>
          <w:u w:val="single"/>
          <w:lang w:val="fr-CA"/>
        </w:rPr>
      </w:pPr>
      <w:bookmarkStart w:id="0" w:name="_GoBack"/>
      <w:bookmarkEnd w:id="0"/>
      <w:r w:rsidRPr="009D4134">
        <w:rPr>
          <w:b/>
          <w:i/>
          <w:u w:val="single"/>
          <w:lang w:val="fr-CA"/>
        </w:rPr>
        <w:t>Trousse d’outils pour ateliers sur l’équité en santé publique environnementale</w:t>
      </w:r>
    </w:p>
    <w:p w14:paraId="6B4DC171" w14:textId="6A1A3308" w:rsidR="0035117A" w:rsidRPr="009D4134" w:rsidRDefault="00B55534" w:rsidP="0035117A">
      <w:pPr>
        <w:pStyle w:val="Heading2"/>
        <w:rPr>
          <w:b/>
          <w:u w:val="single"/>
          <w:lang w:val="fr-CA"/>
        </w:rPr>
      </w:pPr>
      <w:r w:rsidRPr="009D4134">
        <w:rPr>
          <w:b/>
          <w:u w:val="single"/>
          <w:lang w:val="fr-CA"/>
        </w:rPr>
        <w:t>Atelier</w:t>
      </w:r>
      <w:r w:rsidR="00C70116" w:rsidRPr="009D4134">
        <w:rPr>
          <w:b/>
          <w:u w:val="single"/>
          <w:lang w:val="fr-CA"/>
        </w:rPr>
        <w:t xml:space="preserve"> sur les capacités organisationnelles en matière d’équité en santé</w:t>
      </w:r>
      <w:r w:rsidR="0052380C" w:rsidRPr="009D4134">
        <w:rPr>
          <w:b/>
          <w:u w:val="single"/>
          <w:lang w:val="fr-CA"/>
        </w:rPr>
        <w:t xml:space="preserve"> - Programme</w:t>
      </w:r>
      <w:r w:rsidR="00C70116" w:rsidRPr="009D4134">
        <w:rPr>
          <w:b/>
          <w:u w:val="single"/>
          <w:lang w:val="fr-CA"/>
        </w:rPr>
        <w:t xml:space="preserve"> </w:t>
      </w:r>
    </w:p>
    <w:p w14:paraId="21030E94" w14:textId="77777777" w:rsidR="0035117A" w:rsidRPr="009D4134" w:rsidRDefault="00B178F5">
      <w:pPr>
        <w:rPr>
          <w:lang w:val="fr-CA"/>
        </w:rPr>
      </w:pPr>
    </w:p>
    <w:tbl>
      <w:tblPr>
        <w:tblStyle w:val="TableauGrille1Clair-Accentuation31"/>
        <w:tblW w:w="0" w:type="auto"/>
        <w:tblLook w:val="0680" w:firstRow="0" w:lastRow="0" w:firstColumn="1" w:lastColumn="0" w:noHBand="1" w:noVBand="1"/>
      </w:tblPr>
      <w:tblGrid>
        <w:gridCol w:w="1413"/>
        <w:gridCol w:w="7937"/>
      </w:tblGrid>
      <w:tr w:rsidR="00441C18" w:rsidRPr="009D4134" w14:paraId="452CCAF0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53076E" w14:textId="77777777" w:rsidR="005132C8" w:rsidRPr="009D4134" w:rsidRDefault="00E30FE8" w:rsidP="005132C8">
            <w:pPr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Titre</w:t>
            </w:r>
          </w:p>
        </w:tc>
        <w:tc>
          <w:tcPr>
            <w:tcW w:w="7937" w:type="dxa"/>
          </w:tcPr>
          <w:p w14:paraId="4550BB43" w14:textId="27E80F32" w:rsidR="005132C8" w:rsidRPr="009D4134" w:rsidRDefault="00D84144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lang w:val="fr-CA"/>
              </w:rPr>
              <w:t>Renforcement de</w:t>
            </w:r>
            <w:r w:rsidR="006C5DA0" w:rsidRPr="009D4134">
              <w:rPr>
                <w:lang w:val="fr-CA"/>
              </w:rPr>
              <w:t xml:space="preserve"> la</w:t>
            </w:r>
            <w:r w:rsidRPr="009D4134">
              <w:rPr>
                <w:lang w:val="fr-CA"/>
              </w:rPr>
              <w:t xml:space="preserve"> capacité </w:t>
            </w:r>
            <w:r w:rsidR="006C5DA0" w:rsidRPr="009D4134">
              <w:rPr>
                <w:lang w:val="fr-CA"/>
              </w:rPr>
              <w:t xml:space="preserve">des </w:t>
            </w:r>
            <w:r w:rsidRPr="009D4134">
              <w:rPr>
                <w:lang w:val="fr-CA"/>
              </w:rPr>
              <w:t xml:space="preserve">organisations </w:t>
            </w:r>
            <w:r w:rsidR="006C5DA0" w:rsidRPr="009D4134">
              <w:rPr>
                <w:lang w:val="fr-CA"/>
              </w:rPr>
              <w:t>à</w:t>
            </w:r>
            <w:r w:rsidRPr="009D4134">
              <w:rPr>
                <w:lang w:val="fr-CA"/>
              </w:rPr>
              <w:t xml:space="preserve"> agir </w:t>
            </w:r>
            <w:r w:rsidR="006C5DA0" w:rsidRPr="009D4134">
              <w:rPr>
                <w:lang w:val="fr-CA"/>
              </w:rPr>
              <w:t>sur l</w:t>
            </w:r>
            <w:r w:rsidRPr="009D4134">
              <w:rPr>
                <w:lang w:val="fr-CA"/>
              </w:rPr>
              <w:t>’équité en santé</w:t>
            </w:r>
          </w:p>
        </w:tc>
      </w:tr>
      <w:tr w:rsidR="00441C18" w:rsidRPr="009D4134" w14:paraId="0128D533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722B9B" w14:textId="77777777" w:rsidR="005132C8" w:rsidRPr="009D4134" w:rsidRDefault="00E30FE8" w:rsidP="005132C8">
            <w:pPr>
              <w:rPr>
                <w:rFonts w:asciiTheme="minorHAnsi" w:hAnsiTheme="minorHAnsi" w:cstheme="minorHAnsi"/>
                <w:i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Animateur</w:t>
            </w:r>
          </w:p>
        </w:tc>
        <w:tc>
          <w:tcPr>
            <w:tcW w:w="7937" w:type="dxa"/>
          </w:tcPr>
          <w:p w14:paraId="50FFD204" w14:textId="77777777" w:rsidR="005132C8" w:rsidRPr="009D4134" w:rsidRDefault="00B178F5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41C18" w:rsidRPr="009D4134" w14:paraId="54C4823F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87AEAA" w14:textId="77777777" w:rsidR="005132C8" w:rsidRPr="009D4134" w:rsidRDefault="00E30FE8" w:rsidP="005132C8">
            <w:pPr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Durée</w:t>
            </w:r>
          </w:p>
        </w:tc>
        <w:tc>
          <w:tcPr>
            <w:tcW w:w="7937" w:type="dxa"/>
          </w:tcPr>
          <w:p w14:paraId="6E447EE1" w14:textId="3149B7D1" w:rsidR="005132C8" w:rsidRPr="009D4134" w:rsidRDefault="00065553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Environ 2 </w:t>
            </w:r>
            <w:r w:rsidR="00E30FE8" w:rsidRPr="009D4134">
              <w:rPr>
                <w:rFonts w:asciiTheme="minorHAnsi" w:hAnsiTheme="minorHAnsi" w:cstheme="minorHAnsi"/>
                <w:lang w:val="fr-CA"/>
              </w:rPr>
              <w:t>heure</w:t>
            </w:r>
            <w:r w:rsidRPr="009D4134">
              <w:rPr>
                <w:rFonts w:asciiTheme="minorHAnsi" w:hAnsiTheme="minorHAnsi" w:cstheme="minorHAnsi"/>
                <w:lang w:val="fr-CA"/>
              </w:rPr>
              <w:t>s</w:t>
            </w:r>
          </w:p>
        </w:tc>
      </w:tr>
      <w:tr w:rsidR="00441C18" w:rsidRPr="009D4134" w14:paraId="3D189BCE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C5A0E7" w14:textId="77777777" w:rsidR="005132C8" w:rsidRPr="009D4134" w:rsidRDefault="00E30FE8" w:rsidP="005132C8">
            <w:pPr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Date</w:t>
            </w:r>
          </w:p>
        </w:tc>
        <w:tc>
          <w:tcPr>
            <w:tcW w:w="7937" w:type="dxa"/>
          </w:tcPr>
          <w:p w14:paraId="65BA749D" w14:textId="77777777" w:rsidR="005132C8" w:rsidRPr="009D4134" w:rsidRDefault="00B178F5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41C18" w:rsidRPr="009D4134" w14:paraId="254EB219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1DEF78" w14:textId="77777777" w:rsidR="005132C8" w:rsidRPr="009D4134" w:rsidRDefault="00E30FE8" w:rsidP="005132C8">
            <w:pPr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Lieu</w:t>
            </w:r>
          </w:p>
        </w:tc>
        <w:tc>
          <w:tcPr>
            <w:tcW w:w="7937" w:type="dxa"/>
          </w:tcPr>
          <w:p w14:paraId="3B78D34B" w14:textId="77777777" w:rsidR="005132C8" w:rsidRPr="009D4134" w:rsidRDefault="00B178F5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41C18" w:rsidRPr="009D4134" w14:paraId="39A80197" w14:textId="77777777" w:rsidTr="00441C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13385B" w14:textId="77777777" w:rsidR="005132C8" w:rsidRPr="009D4134" w:rsidRDefault="00E30FE8" w:rsidP="005132C8">
            <w:pPr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Objectif</w:t>
            </w:r>
          </w:p>
        </w:tc>
        <w:tc>
          <w:tcPr>
            <w:tcW w:w="7937" w:type="dxa"/>
          </w:tcPr>
          <w:p w14:paraId="1765DBA5" w14:textId="3E0152FE" w:rsidR="00BD3A9F" w:rsidRPr="009D4134" w:rsidRDefault="00E30FE8" w:rsidP="00BD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A"/>
              </w:rPr>
            </w:pPr>
            <w:r w:rsidRPr="009D4134">
              <w:rPr>
                <w:rFonts w:asciiTheme="minorHAnsi" w:hAnsiTheme="minorHAnsi" w:cstheme="minorHAnsi"/>
                <w:lang w:val="fr-CA"/>
              </w:rPr>
              <w:t>E</w:t>
            </w:r>
            <w:r w:rsidRPr="009D4134">
              <w:rPr>
                <w:lang w:val="fr-CA"/>
              </w:rPr>
              <w:t>xplore</w:t>
            </w:r>
            <w:r w:rsidR="00EB78E9" w:rsidRPr="009D4134">
              <w:rPr>
                <w:lang w:val="fr-CA"/>
              </w:rPr>
              <w:t xml:space="preserve">r des façons d’accroître la capacité d’agir </w:t>
            </w:r>
            <w:r w:rsidR="006C5DA0" w:rsidRPr="009D4134">
              <w:rPr>
                <w:lang w:val="fr-CA"/>
              </w:rPr>
              <w:t>sur l</w:t>
            </w:r>
            <w:r w:rsidR="00EB78E9" w:rsidRPr="009D4134">
              <w:rPr>
                <w:lang w:val="fr-CA"/>
              </w:rPr>
              <w:t>’</w:t>
            </w:r>
            <w:r w:rsidRPr="009D4134">
              <w:rPr>
                <w:lang w:val="fr-CA"/>
              </w:rPr>
              <w:t xml:space="preserve">équité en santé </w:t>
            </w:r>
            <w:r w:rsidR="00EB78E9" w:rsidRPr="009D4134">
              <w:rPr>
                <w:lang w:val="fr-CA"/>
              </w:rPr>
              <w:t xml:space="preserve">des professionnels de première ligne en santé publique environnementale et de la </w:t>
            </w:r>
            <w:r w:rsidRPr="009D4134">
              <w:rPr>
                <w:lang w:val="fr-CA"/>
              </w:rPr>
              <w:t>gestion/</w:t>
            </w:r>
            <w:r w:rsidR="00EB78E9" w:rsidRPr="009D4134">
              <w:rPr>
                <w:lang w:val="fr-CA"/>
              </w:rPr>
              <w:t>direction</w:t>
            </w:r>
            <w:r w:rsidRPr="009D4134">
              <w:rPr>
                <w:lang w:val="fr-CA"/>
              </w:rPr>
              <w:t xml:space="preserve"> </w:t>
            </w:r>
            <w:r w:rsidR="00EB78E9" w:rsidRPr="009D4134">
              <w:rPr>
                <w:lang w:val="fr-CA"/>
              </w:rPr>
              <w:t xml:space="preserve">de votre service ou de votre organisation. </w:t>
            </w:r>
          </w:p>
        </w:tc>
      </w:tr>
    </w:tbl>
    <w:p w14:paraId="7D51BD9E" w14:textId="77777777" w:rsidR="005132C8" w:rsidRPr="009D4134" w:rsidRDefault="00B178F5" w:rsidP="005132C8">
      <w:pPr>
        <w:rPr>
          <w:rFonts w:asciiTheme="minorHAnsi" w:hAnsiTheme="minorHAnsi" w:cstheme="minorHAnsi"/>
          <w:lang w:val="fr-CA"/>
        </w:rPr>
      </w:pPr>
    </w:p>
    <w:p w14:paraId="43E44657" w14:textId="47BE0869" w:rsidR="00BD3A9F" w:rsidRPr="009D4134" w:rsidRDefault="009B1E8E" w:rsidP="003D35B3">
      <w:pPr>
        <w:pStyle w:val="ListParagraph"/>
        <w:numPr>
          <w:ilvl w:val="0"/>
          <w:numId w:val="2"/>
        </w:numPr>
        <w:ind w:left="426"/>
        <w:rPr>
          <w:i/>
          <w:lang w:val="fr-CA"/>
        </w:rPr>
      </w:pPr>
      <w:r w:rsidRPr="009D4134">
        <w:rPr>
          <w:lang w:val="fr-CA"/>
        </w:rPr>
        <w:t xml:space="preserve">Cette séance s’appuie sur de l’information fournie dans le cadre de la séance </w:t>
      </w:r>
      <w:hyperlink r:id="rId12" w:history="1">
        <w:r w:rsidRPr="009D4134">
          <w:rPr>
            <w:rStyle w:val="Hyperlink"/>
            <w:i/>
            <w:lang w:val="fr-CA"/>
          </w:rPr>
          <w:t>Introduction à l’équité en santé pour les professionnels de la santé publique environnementale</w:t>
        </w:r>
      </w:hyperlink>
      <w:r w:rsidR="00E30FE8" w:rsidRPr="009D4134">
        <w:rPr>
          <w:i/>
          <w:lang w:val="fr-CA"/>
        </w:rPr>
        <w:t>.</w:t>
      </w:r>
    </w:p>
    <w:p w14:paraId="276B5FD5" w14:textId="5E5DE86A" w:rsidR="003D35B3" w:rsidRPr="009D4134" w:rsidRDefault="00C05E93" w:rsidP="003D35B3">
      <w:pPr>
        <w:pStyle w:val="ListParagraph"/>
        <w:numPr>
          <w:ilvl w:val="0"/>
          <w:numId w:val="2"/>
        </w:numPr>
        <w:ind w:left="426"/>
        <w:rPr>
          <w:lang w:val="fr-CA"/>
        </w:rPr>
      </w:pPr>
      <w:r w:rsidRPr="009D4134">
        <w:rPr>
          <w:lang w:val="fr-CA"/>
        </w:rPr>
        <w:t>Il est recommandé que les participants aient soit participé à l’</w:t>
      </w:r>
      <w:hyperlink r:id="rId13" w:history="1">
        <w:r w:rsidRPr="009D4134">
          <w:rPr>
            <w:rStyle w:val="Hyperlink"/>
            <w:i/>
            <w:lang w:val="fr-CA"/>
          </w:rPr>
          <w:t>atelier sur l</w:t>
        </w:r>
        <w:r w:rsidR="003D6A7F" w:rsidRPr="009D4134">
          <w:rPr>
            <w:rStyle w:val="Hyperlink"/>
            <w:i/>
            <w:lang w:val="fr-CA"/>
          </w:rPr>
          <w:t>’</w:t>
        </w:r>
        <w:r w:rsidRPr="009D4134">
          <w:rPr>
            <w:rStyle w:val="Hyperlink"/>
            <w:i/>
            <w:lang w:val="fr-CA"/>
          </w:rPr>
          <w:t>équité en santé</w:t>
        </w:r>
      </w:hyperlink>
      <w:r w:rsidR="001A5FD2" w:rsidRPr="009D4134">
        <w:rPr>
          <w:rStyle w:val="Hyperlink"/>
          <w:u w:val="none"/>
          <w:lang w:val="fr-CA"/>
        </w:rPr>
        <w:t xml:space="preserve"> </w:t>
      </w:r>
      <w:r w:rsidR="00E30FE8" w:rsidRPr="009D4134">
        <w:rPr>
          <w:lang w:val="fr-CA"/>
        </w:rPr>
        <w:t>o</w:t>
      </w:r>
      <w:r w:rsidR="00291BAC" w:rsidRPr="009D4134">
        <w:rPr>
          <w:lang w:val="fr-CA"/>
        </w:rPr>
        <w:t>u qu’ils aient consulté les outils disponibles en ligne au</w:t>
      </w:r>
      <w:r w:rsidR="001A5FD2" w:rsidRPr="009D4134">
        <w:rPr>
          <w:lang w:val="fr-CA"/>
        </w:rPr>
        <w:t xml:space="preserve"> </w:t>
      </w:r>
      <w:hyperlink r:id="rId14" w:history="1">
        <w:r w:rsidR="001A5FD2" w:rsidRPr="009D4134">
          <w:rPr>
            <w:rStyle w:val="Hyperlink"/>
            <w:lang w:val="fr-CA"/>
          </w:rPr>
          <w:t>http://www.bccdc.ca/health-professionals/professional-resources/health-equity-environmental-health</w:t>
        </w:r>
      </w:hyperlink>
      <w:r w:rsidR="00E30FE8" w:rsidRPr="009D4134">
        <w:rPr>
          <w:lang w:val="fr-CA"/>
        </w:rPr>
        <w:t xml:space="preserve">. </w:t>
      </w:r>
    </w:p>
    <w:p w14:paraId="5D483B41" w14:textId="77777777" w:rsidR="00BD3A9F" w:rsidRPr="009D4134" w:rsidRDefault="00B178F5" w:rsidP="005132C8">
      <w:pPr>
        <w:rPr>
          <w:rFonts w:asciiTheme="minorHAnsi" w:hAnsiTheme="minorHAnsi" w:cstheme="minorHAnsi"/>
          <w:b/>
          <w:lang w:val="fr-CA"/>
        </w:rPr>
      </w:pPr>
    </w:p>
    <w:tbl>
      <w:tblPr>
        <w:tblStyle w:val="TableauGrille6Couleur-Accentuation51"/>
        <w:tblW w:w="0" w:type="auto"/>
        <w:tblLook w:val="0620" w:firstRow="1" w:lastRow="0" w:firstColumn="0" w:lastColumn="0" w:noHBand="1" w:noVBand="1"/>
      </w:tblPr>
      <w:tblGrid>
        <w:gridCol w:w="936"/>
        <w:gridCol w:w="880"/>
        <w:gridCol w:w="2516"/>
        <w:gridCol w:w="4140"/>
        <w:gridCol w:w="1104"/>
      </w:tblGrid>
      <w:tr w:rsidR="005A79E1" w:rsidRPr="009D4134" w14:paraId="7AA1BAFD" w14:textId="77777777" w:rsidTr="0012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DEEAF6" w:themeFill="accent5" w:themeFillTint="33"/>
          </w:tcPr>
          <w:p w14:paraId="37161464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Heure de début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51909C2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Durée</w:t>
            </w:r>
          </w:p>
        </w:tc>
        <w:tc>
          <w:tcPr>
            <w:tcW w:w="2516" w:type="dxa"/>
            <w:shd w:val="clear" w:color="auto" w:fill="DEEAF6" w:themeFill="accent5" w:themeFillTint="33"/>
          </w:tcPr>
          <w:p w14:paraId="0C98319E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Titre de la partie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45B44195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Description ou objectif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F44BA09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Animateur</w:t>
            </w:r>
          </w:p>
        </w:tc>
      </w:tr>
      <w:tr w:rsidR="005A79E1" w:rsidRPr="009D4134" w14:paraId="6F7402CB" w14:textId="77777777" w:rsidTr="00120FDD">
        <w:trPr>
          <w:trHeight w:val="737"/>
        </w:trPr>
        <w:tc>
          <w:tcPr>
            <w:tcW w:w="0" w:type="auto"/>
          </w:tcPr>
          <w:p w14:paraId="298F864E" w14:textId="77777777" w:rsidR="005132C8" w:rsidRPr="009D4134" w:rsidRDefault="00B178F5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022024B3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2 min</w:t>
            </w:r>
          </w:p>
        </w:tc>
        <w:tc>
          <w:tcPr>
            <w:tcW w:w="2516" w:type="dxa"/>
          </w:tcPr>
          <w:p w14:paraId="262C89A5" w14:textId="77777777" w:rsidR="005132C8" w:rsidRPr="009D4134" w:rsidRDefault="00E30FE8" w:rsidP="004A3E2A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Introduction</w:t>
            </w:r>
          </w:p>
        </w:tc>
        <w:tc>
          <w:tcPr>
            <w:tcW w:w="4140" w:type="dxa"/>
          </w:tcPr>
          <w:p w14:paraId="15A955A4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Présentation du sujet, de l’animateur, du plan de séance et des consignes liées au déroulement, le cas échéant</w:t>
            </w:r>
          </w:p>
        </w:tc>
        <w:tc>
          <w:tcPr>
            <w:tcW w:w="0" w:type="auto"/>
          </w:tcPr>
          <w:p w14:paraId="1C471EC4" w14:textId="77777777" w:rsidR="005132C8" w:rsidRPr="009D4134" w:rsidRDefault="00B178F5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112EBD68" w14:textId="77777777" w:rsidTr="00120FDD">
        <w:trPr>
          <w:trHeight w:val="1534"/>
        </w:trPr>
        <w:tc>
          <w:tcPr>
            <w:tcW w:w="0" w:type="auto"/>
          </w:tcPr>
          <w:p w14:paraId="509C0B6C" w14:textId="77777777" w:rsidR="005132C8" w:rsidRPr="009D4134" w:rsidRDefault="00B178F5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0D6F1ACF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2 min</w:t>
            </w:r>
          </w:p>
        </w:tc>
        <w:tc>
          <w:tcPr>
            <w:tcW w:w="2516" w:type="dxa"/>
          </w:tcPr>
          <w:p w14:paraId="7A64323D" w14:textId="77777777" w:rsidR="005132C8" w:rsidRPr="009D4134" w:rsidRDefault="00E30FE8" w:rsidP="004A3E2A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Survol – L’équité en santé et les déterminants sociaux de la santé en santé publique environnementale appliquée</w:t>
            </w:r>
          </w:p>
        </w:tc>
        <w:tc>
          <w:tcPr>
            <w:tcW w:w="4140" w:type="dxa"/>
          </w:tcPr>
          <w:p w14:paraId="70E85374" w14:textId="77777777" w:rsidR="005132C8" w:rsidRPr="009D4134" w:rsidRDefault="00E30FE8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Survol des concepts clés et des liens entre les problèmes d’équité et la pratique</w:t>
            </w:r>
          </w:p>
        </w:tc>
        <w:tc>
          <w:tcPr>
            <w:tcW w:w="0" w:type="auto"/>
          </w:tcPr>
          <w:p w14:paraId="1BD68EBE" w14:textId="77777777" w:rsidR="005132C8" w:rsidRPr="009D4134" w:rsidRDefault="00B178F5" w:rsidP="004A3E2A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3268FC3E" w14:textId="77777777" w:rsidTr="00120FDD">
        <w:trPr>
          <w:trHeight w:val="737"/>
        </w:trPr>
        <w:tc>
          <w:tcPr>
            <w:tcW w:w="0" w:type="auto"/>
          </w:tcPr>
          <w:p w14:paraId="492502F7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2BEFA2CF" w14:textId="4E1A37B5" w:rsidR="006243AD" w:rsidRPr="009D4134" w:rsidRDefault="00D23887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1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2345BA50" w14:textId="42658F4D" w:rsidR="006243AD" w:rsidRPr="009D4134" w:rsidRDefault="00E30FE8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Capacit</w:t>
            </w:r>
            <w:r w:rsidR="00E76BCC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é d’agir en matière d’</w:t>
            </w: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équité en santé </w:t>
            </w:r>
            <w:r w:rsidR="00E76BCC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dans les organisations de santé publique environnementale</w:t>
            </w: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4140" w:type="dxa"/>
          </w:tcPr>
          <w:p w14:paraId="4509641B" w14:textId="221C4E2B" w:rsidR="006243AD" w:rsidRPr="009D4134" w:rsidRDefault="006C5DA0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Explication </w:t>
            </w:r>
            <w:r w:rsidR="00F86904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de </w:t>
            </w:r>
            <w:r w:rsidR="006F3653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la façon dont l’équité en santé 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peut s’intégrer à</w:t>
            </w:r>
            <w:r w:rsidR="006F3653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la santé publique environnementale</w:t>
            </w:r>
            <w:r w:rsidR="00327EEE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appliquée</w:t>
            </w:r>
            <w:r w:rsidR="00F86904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et </w:t>
            </w:r>
            <w:r w:rsidR="00D67700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dont les professionnels y réagissent, </w:t>
            </w:r>
            <w:r w:rsidR="005A79E1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ainsi que des défis organisationnels actuels liés à la progression de l’équité. </w:t>
            </w:r>
            <w:r w:rsidR="00AF346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Présentation d’aspects pratiques, dont les leviers, les obstacles et les outils. </w:t>
            </w:r>
          </w:p>
        </w:tc>
        <w:tc>
          <w:tcPr>
            <w:tcW w:w="0" w:type="auto"/>
          </w:tcPr>
          <w:p w14:paraId="14523FDF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0BA37BEA" w14:textId="77777777" w:rsidTr="00120FDD">
        <w:trPr>
          <w:trHeight w:val="737"/>
        </w:trPr>
        <w:tc>
          <w:tcPr>
            <w:tcW w:w="0" w:type="auto"/>
          </w:tcPr>
          <w:p w14:paraId="00A1B324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56620CAC" w14:textId="77777777" w:rsidR="006243AD" w:rsidRPr="009D4134" w:rsidRDefault="00E30FE8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0A8CFCDA" w14:textId="793C8D39" w:rsidR="006243AD" w:rsidRPr="009D4134" w:rsidRDefault="00C7042D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Période de questions</w:t>
            </w:r>
          </w:p>
        </w:tc>
        <w:tc>
          <w:tcPr>
            <w:tcW w:w="4140" w:type="dxa"/>
          </w:tcPr>
          <w:p w14:paraId="5DCCF862" w14:textId="2A811377" w:rsidR="006243AD" w:rsidRPr="009D4134" w:rsidRDefault="00D8514C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Courte période de questions pour clarifier certains éléments. </w:t>
            </w:r>
          </w:p>
        </w:tc>
        <w:tc>
          <w:tcPr>
            <w:tcW w:w="0" w:type="auto"/>
          </w:tcPr>
          <w:p w14:paraId="1B61A27E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D214B4" w:rsidRPr="009D4134" w14:paraId="0AD3A346" w14:textId="77777777" w:rsidTr="00120FDD">
        <w:trPr>
          <w:trHeight w:val="737"/>
        </w:trPr>
        <w:tc>
          <w:tcPr>
            <w:tcW w:w="0" w:type="auto"/>
          </w:tcPr>
          <w:p w14:paraId="19D58612" w14:textId="77777777" w:rsidR="00D214B4" w:rsidRPr="009D4134" w:rsidRDefault="00D214B4" w:rsidP="00D214B4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2F850DA6" w14:textId="77777777" w:rsidR="00D214B4" w:rsidRPr="009D4134" w:rsidRDefault="00D214B4" w:rsidP="00D214B4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10 min</w:t>
            </w:r>
          </w:p>
        </w:tc>
        <w:tc>
          <w:tcPr>
            <w:tcW w:w="2516" w:type="dxa"/>
          </w:tcPr>
          <w:p w14:paraId="1E695A1F" w14:textId="4F531BFD" w:rsidR="00D214B4" w:rsidRPr="009D4134" w:rsidRDefault="00D214B4" w:rsidP="00D214B4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Mises en situation</w:t>
            </w:r>
          </w:p>
        </w:tc>
        <w:tc>
          <w:tcPr>
            <w:tcW w:w="4140" w:type="dxa"/>
          </w:tcPr>
          <w:p w14:paraId="25AA0DFB" w14:textId="78727F97" w:rsidR="00D214B4" w:rsidRPr="009D4134" w:rsidRDefault="00024736" w:rsidP="00D214B4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Exercice de réflexion </w:t>
            </w:r>
            <w:r w:rsidR="009D1B57" w:rsidRPr="009D4134">
              <w:rPr>
                <w:rFonts w:asciiTheme="minorHAnsi" w:hAnsiTheme="minorHAnsi" w:cstheme="minorHAnsi"/>
                <w:sz w:val="20"/>
                <w:lang w:val="fr-CA"/>
              </w:rPr>
              <w:t>visant à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générer des idées de discussion pour l’exercice de café du savoir qui suit. </w:t>
            </w:r>
          </w:p>
          <w:p w14:paraId="07E719EC" w14:textId="32EF7A46" w:rsidR="00D214B4" w:rsidRPr="009D4134" w:rsidRDefault="00D214B4" w:rsidP="00D214B4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Cet exercice est </w:t>
            </w:r>
            <w:r w:rsidR="006C5DA0"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facultatif 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dans </w:t>
            </w:r>
            <w:r w:rsidR="006C5DA0"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le module 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>« Introduction à l’équité en santé »; il est donc possible que les participants aient déjà vu ces scénarios. S’ils ont déjà effectué l’exercice, envisager l’une des options suivantes :</w:t>
            </w:r>
          </w:p>
          <w:p w14:paraId="47DA2E01" w14:textId="77777777" w:rsidR="00D214B4" w:rsidRPr="009D4134" w:rsidRDefault="00D214B4" w:rsidP="00D214B4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Afficher les scénarios ou distribuer des 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lastRenderedPageBreak/>
              <w:t>copies papier pour en faire une brève révision et laisser quelques minutes aux participants pour réfléchir aux questions de la prochaine diapositive.</w:t>
            </w:r>
          </w:p>
          <w:p w14:paraId="2B0635A9" w14:textId="5958B006" w:rsidR="00D214B4" w:rsidRPr="009D4134" w:rsidRDefault="00D214B4" w:rsidP="00D214B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Laisser tomber cet exercice et laisser quelques minutes aux participants pour réfléchir </w:t>
            </w:r>
            <w:r w:rsidR="006C5DA0"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>à la manière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 dont la question d’équité en santé</w:t>
            </w:r>
            <w:r w:rsidR="006C5DA0"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 est abordée dans leur organisation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, ou sur la façon dont cela pourrait être fait, au sein de leur programme ou autorité sanitaire. Les inviter à penser aux contextes </w:t>
            </w:r>
            <w:r w:rsidR="006C5DA0"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 xml:space="preserve">où </w:t>
            </w:r>
            <w:r w:rsidRPr="009D4134">
              <w:rPr>
                <w:rFonts w:asciiTheme="minorHAnsi" w:hAnsiTheme="minorHAnsi" w:cstheme="minorHAnsi"/>
                <w:i/>
                <w:iCs/>
                <w:sz w:val="20"/>
                <w:lang w:val="fr-CA"/>
              </w:rPr>
              <w:t>ils ont déjà une influence sur l’équité en santé et à comment ils pourraient transformer ces efforts pour les rendre encore plus significatifs.</w:t>
            </w:r>
          </w:p>
        </w:tc>
        <w:tc>
          <w:tcPr>
            <w:tcW w:w="0" w:type="auto"/>
          </w:tcPr>
          <w:p w14:paraId="28456F82" w14:textId="77777777" w:rsidR="00D214B4" w:rsidRPr="009D4134" w:rsidRDefault="00D214B4" w:rsidP="00D214B4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4DFD8839" w14:textId="77777777" w:rsidTr="00120FDD">
        <w:trPr>
          <w:trHeight w:val="737"/>
        </w:trPr>
        <w:tc>
          <w:tcPr>
            <w:tcW w:w="0" w:type="auto"/>
          </w:tcPr>
          <w:p w14:paraId="742B6E1F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412C9638" w14:textId="77777777" w:rsidR="006243AD" w:rsidRPr="009D4134" w:rsidRDefault="00E30FE8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668BBF07" w14:textId="4A3BDDD2" w:rsidR="006243AD" w:rsidRPr="009D4134" w:rsidRDefault="00C56AC0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Café du savoir</w:t>
            </w:r>
            <w:r w:rsidR="00E30FE8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– </w:t>
            </w: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Directives et aperçu</w:t>
            </w:r>
          </w:p>
        </w:tc>
        <w:tc>
          <w:tcPr>
            <w:tcW w:w="4140" w:type="dxa"/>
          </w:tcPr>
          <w:p w14:paraId="1A2C63D6" w14:textId="408E7B2C" w:rsidR="006243AD" w:rsidRPr="009D4134" w:rsidRDefault="005F6C53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Présentation de la formule du café du savoir, </w:t>
            </w:r>
            <w:r w:rsidR="000675B0" w:rsidRPr="009D4134">
              <w:rPr>
                <w:rFonts w:asciiTheme="minorHAnsi" w:hAnsiTheme="minorHAnsi" w:cstheme="minorHAnsi"/>
                <w:sz w:val="20"/>
                <w:lang w:val="fr-CA"/>
              </w:rPr>
              <w:t>ainsi que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0675B0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des 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directives </w:t>
            </w:r>
            <w:r w:rsidR="000675B0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et des questions de discussion aux participants. </w:t>
            </w:r>
          </w:p>
        </w:tc>
        <w:tc>
          <w:tcPr>
            <w:tcW w:w="0" w:type="auto"/>
          </w:tcPr>
          <w:p w14:paraId="33FEB89F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3CB245E7" w14:textId="77777777" w:rsidTr="00120FDD">
        <w:trPr>
          <w:trHeight w:val="1842"/>
        </w:trPr>
        <w:tc>
          <w:tcPr>
            <w:tcW w:w="0" w:type="auto"/>
          </w:tcPr>
          <w:p w14:paraId="125FD218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010B9EF7" w14:textId="5FCAF7CF" w:rsidR="006243AD" w:rsidRPr="009D4134" w:rsidRDefault="00BF6C42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3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0 à 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6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0 min</w:t>
            </w:r>
          </w:p>
        </w:tc>
        <w:tc>
          <w:tcPr>
            <w:tcW w:w="2516" w:type="dxa"/>
          </w:tcPr>
          <w:p w14:paraId="5E70EAA4" w14:textId="22912C82" w:rsidR="006243AD" w:rsidRPr="009D4134" w:rsidRDefault="00A845F8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Café du savoir</w:t>
            </w:r>
            <w:r w:rsidR="00E30FE8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– </w:t>
            </w:r>
            <w:r w:rsidR="006C5DA0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Discussions </w:t>
            </w:r>
            <w:r w:rsidR="00E30FE8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(</w:t>
            </w:r>
            <w:r w:rsidR="003F7BB1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le nombre de tours dépend du temps dont on dispose</w:t>
            </w:r>
            <w:r w:rsidR="00E30FE8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)</w:t>
            </w:r>
          </w:p>
          <w:p w14:paraId="35DE1EB5" w14:textId="315329A2" w:rsidR="00C8594D" w:rsidRPr="009D4134" w:rsidRDefault="00C8594D" w:rsidP="00C8594D">
            <w:pPr>
              <w:jc w:val="center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4140" w:type="dxa"/>
          </w:tcPr>
          <w:p w14:paraId="254CC958" w14:textId="0D3C368B" w:rsidR="006243AD" w:rsidRPr="009D4134" w:rsidRDefault="00EB6B21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À chaque tour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, </w:t>
            </w: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les petits groupes </w:t>
            </w:r>
            <w:r w:rsidR="00120FDD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discutent autour d’une des six questions pour </w:t>
            </w:r>
            <w:r w:rsidR="007004F4" w:rsidRPr="009D4134">
              <w:rPr>
                <w:rFonts w:asciiTheme="minorHAnsi" w:hAnsiTheme="minorHAnsi" w:cstheme="minorHAnsi"/>
                <w:sz w:val="20"/>
                <w:lang w:val="fr-CA"/>
              </w:rPr>
              <w:t>trouv</w:t>
            </w:r>
            <w:r w:rsidR="00120FDD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er : 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(1) </w:t>
            </w:r>
            <w:r w:rsidR="00120FDD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des façons </w:t>
            </w:r>
            <w:r w:rsidR="00C85E0D" w:rsidRPr="009D4134">
              <w:rPr>
                <w:rFonts w:asciiTheme="minorHAnsi" w:hAnsiTheme="minorHAnsi" w:cstheme="minorHAnsi"/>
                <w:sz w:val="20"/>
                <w:lang w:val="fr-CA"/>
              </w:rPr>
              <w:t>d’accroître la capacité pour l’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équité en santé </w:t>
            </w:r>
            <w:r w:rsidR="00C85E0D" w:rsidRPr="009D4134">
              <w:rPr>
                <w:rFonts w:asciiTheme="minorHAnsi" w:hAnsiTheme="minorHAnsi" w:cstheme="minorHAnsi"/>
                <w:sz w:val="20"/>
                <w:lang w:val="fr-CA"/>
              </w:rPr>
              <w:t>en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santé environnementale</w:t>
            </w:r>
            <w:r w:rsidR="00C85E0D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, et 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(2) </w:t>
            </w:r>
            <w:r w:rsidR="008C6A50" w:rsidRPr="009D4134">
              <w:rPr>
                <w:rFonts w:asciiTheme="minorHAnsi" w:hAnsiTheme="minorHAnsi" w:cstheme="minorHAnsi"/>
                <w:sz w:val="20"/>
                <w:lang w:val="fr-CA"/>
              </w:rPr>
              <w:t>des façons de</w:t>
            </w:r>
            <w:r w:rsidR="003D5356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préciser le mandat et le rôle des professionnels en santé publique environnementale en intégrant les concepts d’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équité en santé </w:t>
            </w:r>
            <w:r w:rsidR="003D5356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et de déterminants sociaux de la santé. </w:t>
            </w:r>
          </w:p>
        </w:tc>
        <w:tc>
          <w:tcPr>
            <w:tcW w:w="0" w:type="auto"/>
          </w:tcPr>
          <w:p w14:paraId="0DD4EDC5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7C7B624B" w14:textId="77777777" w:rsidTr="00120FDD">
        <w:trPr>
          <w:trHeight w:val="737"/>
        </w:trPr>
        <w:tc>
          <w:tcPr>
            <w:tcW w:w="0" w:type="auto"/>
          </w:tcPr>
          <w:p w14:paraId="1E30969F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490F1439" w14:textId="0891A954" w:rsidR="006243AD" w:rsidRPr="009D4134" w:rsidRDefault="00BF6C42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1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6287ACF7" w14:textId="6607611B" w:rsidR="006243AD" w:rsidRPr="009D4134" w:rsidRDefault="00F27C40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Café du savoir</w:t>
            </w:r>
            <w:r w:rsidR="00E30FE8"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 xml:space="preserve"> – </w:t>
            </w: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Retour en séance plénière</w:t>
            </w:r>
          </w:p>
        </w:tc>
        <w:tc>
          <w:tcPr>
            <w:tcW w:w="4140" w:type="dxa"/>
          </w:tcPr>
          <w:p w14:paraId="0A036CE8" w14:textId="6A2488AF" w:rsidR="006243AD" w:rsidRPr="009D4134" w:rsidRDefault="00794789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Chaque groupe présente deux ou trois points importants ou messages clés de leur discussion. 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4075A658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56E97A9B" w14:textId="77777777" w:rsidTr="00120FDD">
        <w:trPr>
          <w:trHeight w:val="737"/>
        </w:trPr>
        <w:tc>
          <w:tcPr>
            <w:tcW w:w="0" w:type="auto"/>
          </w:tcPr>
          <w:p w14:paraId="2476DFC4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7F733A3E" w14:textId="77777777" w:rsidR="006243AD" w:rsidRPr="009D4134" w:rsidRDefault="00E30FE8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028E46C7" w14:textId="77777777" w:rsidR="006243AD" w:rsidRPr="009D4134" w:rsidRDefault="00E30FE8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Conclusion et prochaines étapes</w:t>
            </w:r>
          </w:p>
        </w:tc>
        <w:tc>
          <w:tcPr>
            <w:tcW w:w="4140" w:type="dxa"/>
          </w:tcPr>
          <w:p w14:paraId="273DE349" w14:textId="36654288" w:rsidR="006243AD" w:rsidRPr="009D4134" w:rsidRDefault="00687743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Résumé des points clés de la </w:t>
            </w:r>
            <w:r w:rsidR="00881AB7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séance et présentation des prochaines étapes ou des évènements à venir </w:t>
            </w:r>
            <w:r w:rsidR="0067064B" w:rsidRPr="009D4134">
              <w:rPr>
                <w:rFonts w:asciiTheme="minorHAnsi" w:hAnsiTheme="minorHAnsi" w:cstheme="minorHAnsi"/>
                <w:sz w:val="20"/>
                <w:lang w:val="fr-CA"/>
              </w:rPr>
              <w:t>sur la question de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r w:rsidR="00881AB7" w:rsidRPr="009D4134">
              <w:rPr>
                <w:rFonts w:asciiTheme="minorHAnsi" w:hAnsiTheme="minorHAnsi" w:cstheme="minorHAnsi"/>
                <w:sz w:val="20"/>
                <w:lang w:val="fr-CA"/>
              </w:rPr>
              <w:t>l’</w:t>
            </w:r>
            <w:r w:rsidR="00E30FE8" w:rsidRPr="009D4134">
              <w:rPr>
                <w:rFonts w:asciiTheme="minorHAnsi" w:hAnsiTheme="minorHAnsi" w:cstheme="minorHAnsi"/>
                <w:sz w:val="20"/>
                <w:lang w:val="fr-CA"/>
              </w:rPr>
              <w:t>équité en santé</w:t>
            </w:r>
            <w:r w:rsidR="00881AB7" w:rsidRPr="009D4134">
              <w:rPr>
                <w:rFonts w:asciiTheme="minorHAnsi" w:hAnsiTheme="minorHAnsi" w:cstheme="minorHAnsi"/>
                <w:sz w:val="20"/>
                <w:lang w:val="fr-CA"/>
              </w:rPr>
              <w:t>.</w:t>
            </w:r>
          </w:p>
        </w:tc>
        <w:tc>
          <w:tcPr>
            <w:tcW w:w="0" w:type="auto"/>
          </w:tcPr>
          <w:p w14:paraId="0C453AB2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  <w:tr w:rsidR="005A79E1" w:rsidRPr="009D4134" w14:paraId="147FA91C" w14:textId="77777777" w:rsidTr="00120FDD">
        <w:trPr>
          <w:trHeight w:val="525"/>
        </w:trPr>
        <w:tc>
          <w:tcPr>
            <w:tcW w:w="0" w:type="auto"/>
          </w:tcPr>
          <w:p w14:paraId="56117223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0" w:type="auto"/>
          </w:tcPr>
          <w:p w14:paraId="76547CC8" w14:textId="77777777" w:rsidR="006243AD" w:rsidRPr="009D4134" w:rsidRDefault="00E30FE8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5 min</w:t>
            </w:r>
          </w:p>
        </w:tc>
        <w:tc>
          <w:tcPr>
            <w:tcW w:w="2516" w:type="dxa"/>
          </w:tcPr>
          <w:p w14:paraId="2243FD38" w14:textId="77777777" w:rsidR="006243AD" w:rsidRPr="009D4134" w:rsidRDefault="00E30FE8" w:rsidP="006243AD">
            <w:pPr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b/>
                <w:sz w:val="20"/>
                <w:lang w:val="fr-CA"/>
              </w:rPr>
              <w:t>Évaluation</w:t>
            </w:r>
          </w:p>
        </w:tc>
        <w:tc>
          <w:tcPr>
            <w:tcW w:w="4140" w:type="dxa"/>
          </w:tcPr>
          <w:p w14:paraId="25560ADD" w14:textId="77777777" w:rsidR="006243AD" w:rsidRPr="009D4134" w:rsidRDefault="00E30FE8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  <w:r w:rsidRPr="009D4134">
              <w:rPr>
                <w:rFonts w:asciiTheme="minorHAnsi" w:hAnsiTheme="minorHAnsi" w:cstheme="minorHAnsi"/>
                <w:sz w:val="20"/>
                <w:lang w:val="fr-CA"/>
              </w:rPr>
              <w:t>Remplissage du formulaire d’évaluation</w:t>
            </w:r>
          </w:p>
        </w:tc>
        <w:tc>
          <w:tcPr>
            <w:tcW w:w="0" w:type="auto"/>
          </w:tcPr>
          <w:p w14:paraId="70EB78A1" w14:textId="77777777" w:rsidR="006243AD" w:rsidRPr="009D4134" w:rsidRDefault="00B178F5" w:rsidP="006243AD">
            <w:pPr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</w:tr>
    </w:tbl>
    <w:p w14:paraId="00874AF4" w14:textId="77777777" w:rsidR="005132C8" w:rsidRPr="009D4134" w:rsidRDefault="00B178F5" w:rsidP="005132C8">
      <w:pPr>
        <w:rPr>
          <w:rFonts w:asciiTheme="minorHAnsi" w:hAnsiTheme="minorHAnsi" w:cstheme="minorHAnsi"/>
          <w:b/>
          <w:lang w:val="fr-CA"/>
        </w:rPr>
      </w:pPr>
    </w:p>
    <w:p w14:paraId="61531375" w14:textId="4602E216" w:rsidR="002A2000" w:rsidRPr="009D4134" w:rsidRDefault="00E30FE8" w:rsidP="00482B7B">
      <w:pPr>
        <w:rPr>
          <w:rFonts w:asciiTheme="minorHAnsi" w:hAnsiTheme="minorHAnsi" w:cstheme="minorHAnsi"/>
          <w:b/>
          <w:lang w:val="fr-CA"/>
        </w:rPr>
      </w:pPr>
      <w:r w:rsidRPr="009D4134">
        <w:rPr>
          <w:rFonts w:asciiTheme="minorHAnsi" w:hAnsiTheme="minorHAnsi" w:cstheme="minorHAnsi"/>
          <w:b/>
          <w:lang w:val="fr-CA"/>
        </w:rPr>
        <w:t>RES</w:t>
      </w:r>
      <w:r w:rsidR="00A845F8" w:rsidRPr="009D4134">
        <w:rPr>
          <w:rFonts w:asciiTheme="minorHAnsi" w:hAnsiTheme="minorHAnsi" w:cstheme="minorHAnsi"/>
          <w:b/>
          <w:lang w:val="fr-CA"/>
        </w:rPr>
        <w:t>S</w:t>
      </w:r>
      <w:r w:rsidRPr="009D4134">
        <w:rPr>
          <w:rFonts w:asciiTheme="minorHAnsi" w:hAnsiTheme="minorHAnsi" w:cstheme="minorHAnsi"/>
          <w:b/>
          <w:lang w:val="fr-CA"/>
        </w:rPr>
        <w:t>OURCES</w:t>
      </w:r>
      <w:r w:rsidR="00A845F8" w:rsidRPr="009D4134">
        <w:rPr>
          <w:rFonts w:asciiTheme="minorHAnsi" w:hAnsiTheme="minorHAnsi" w:cstheme="minorHAnsi"/>
          <w:b/>
          <w:lang w:val="fr-CA"/>
        </w:rPr>
        <w:t> </w:t>
      </w:r>
      <w:r w:rsidRPr="009D4134">
        <w:rPr>
          <w:rFonts w:asciiTheme="minorHAnsi" w:hAnsiTheme="minorHAnsi" w:cstheme="minorHAnsi"/>
          <w:b/>
          <w:lang w:val="fr-CA"/>
        </w:rPr>
        <w:t xml:space="preserve">: </w:t>
      </w:r>
      <w:r w:rsidR="00A845F8" w:rsidRPr="009D4134">
        <w:rPr>
          <w:rFonts w:asciiTheme="minorHAnsi" w:hAnsiTheme="minorHAnsi" w:cstheme="minorHAnsi"/>
          <w:b/>
          <w:lang w:val="fr-CA"/>
        </w:rPr>
        <w:t xml:space="preserve">Guide </w:t>
      </w:r>
      <w:r w:rsidR="004E37E3" w:rsidRPr="009D4134">
        <w:rPr>
          <w:rFonts w:asciiTheme="minorHAnsi" w:hAnsiTheme="minorHAnsi" w:cstheme="minorHAnsi"/>
          <w:b/>
          <w:lang w:val="fr-CA"/>
        </w:rPr>
        <w:t>pour le</w:t>
      </w:r>
      <w:r w:rsidR="00A845F8" w:rsidRPr="009D4134">
        <w:rPr>
          <w:rFonts w:asciiTheme="minorHAnsi" w:hAnsiTheme="minorHAnsi" w:cstheme="minorHAnsi"/>
          <w:b/>
          <w:lang w:val="fr-CA"/>
        </w:rPr>
        <w:t xml:space="preserve"> café du savoir</w:t>
      </w:r>
    </w:p>
    <w:p w14:paraId="4B1E5EC6" w14:textId="77777777" w:rsidR="00DE55E9" w:rsidRPr="009D4134" w:rsidRDefault="00B178F5" w:rsidP="00482B7B">
      <w:pPr>
        <w:rPr>
          <w:rFonts w:asciiTheme="minorHAnsi" w:hAnsiTheme="minorHAnsi" w:cstheme="minorHAnsi"/>
          <w:b/>
          <w:lang w:val="fr-CA"/>
        </w:rPr>
      </w:pPr>
    </w:p>
    <w:p w14:paraId="6726AD1E" w14:textId="0E10D9C7" w:rsidR="00F66742" w:rsidRPr="009D4134" w:rsidRDefault="00872970">
      <w:pPr>
        <w:rPr>
          <w:lang w:val="fr-CA"/>
        </w:rPr>
      </w:pPr>
      <w:r w:rsidRPr="009D4134">
        <w:rPr>
          <w:b/>
          <w:lang w:val="fr-CA"/>
        </w:rPr>
        <w:t>QUESTIONS POUR LE CAFÉ DU SAVOIR</w:t>
      </w:r>
      <w:r w:rsidR="00E30FE8" w:rsidRPr="009D4134">
        <w:rPr>
          <w:b/>
          <w:lang w:val="fr-CA"/>
        </w:rPr>
        <w:t xml:space="preserve"> </w:t>
      </w:r>
      <w:r w:rsidR="009C64EA" w:rsidRPr="009D4134">
        <w:rPr>
          <w:b/>
          <w:lang w:val="fr-CA"/>
        </w:rPr>
        <w:t xml:space="preserve">et </w:t>
      </w:r>
      <w:r w:rsidR="00E90ADE" w:rsidRPr="009D4134">
        <w:rPr>
          <w:b/>
          <w:lang w:val="fr-CA"/>
        </w:rPr>
        <w:t>sous-</w:t>
      </w:r>
      <w:r w:rsidR="009C64EA" w:rsidRPr="009D4134">
        <w:rPr>
          <w:b/>
          <w:lang w:val="fr-CA"/>
        </w:rPr>
        <w:t>questions pour les animateurs de table </w:t>
      </w:r>
      <w:r w:rsidR="00E30FE8" w:rsidRPr="009D4134">
        <w:rPr>
          <w:b/>
          <w:lang w:val="fr-CA"/>
        </w:rPr>
        <w:t>:</w:t>
      </w:r>
    </w:p>
    <w:p w14:paraId="75CA8921" w14:textId="77777777" w:rsidR="003E7929" w:rsidRPr="009D4134" w:rsidRDefault="003E7929" w:rsidP="003E7929">
      <w:pPr>
        <w:numPr>
          <w:ilvl w:val="0"/>
          <w:numId w:val="5"/>
        </w:numPr>
        <w:rPr>
          <w:lang w:val="fr-CA"/>
        </w:rPr>
      </w:pPr>
      <w:r w:rsidRPr="009D4134">
        <w:rPr>
          <w:lang w:val="fr-CA"/>
        </w:rPr>
        <w:t>Dans votre région, quelles sont les activités qui pourraient être amenées à inclure davantage l’équité en santé et les DSS?</w:t>
      </w:r>
    </w:p>
    <w:p w14:paraId="75FBA4C1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>Y a-t-il d’autres professionnels en santé publique dont le travail touche les déterminants sociaux de la santé et l’équité en santé?</w:t>
      </w:r>
    </w:p>
    <w:p w14:paraId="51EC845C" w14:textId="65B623EF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Y a-t-il d’autres professionnels, qui n’œuvrent pas dans le domaine de la santé publique, qui </w:t>
      </w:r>
      <w:r w:rsidR="006C5DA0" w:rsidRPr="009D4134">
        <w:rPr>
          <w:lang w:val="fr-CA"/>
        </w:rPr>
        <w:t xml:space="preserve">sont confrontés à </w:t>
      </w:r>
      <w:r w:rsidRPr="009D4134">
        <w:rPr>
          <w:lang w:val="fr-CA"/>
        </w:rPr>
        <w:t xml:space="preserve">ces enjeux? </w:t>
      </w:r>
    </w:p>
    <w:p w14:paraId="799EAE30" w14:textId="2AAB5199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>Existe</w:t>
      </w:r>
      <w:r w:rsidR="006C5DA0" w:rsidRPr="009D4134">
        <w:rPr>
          <w:lang w:val="fr-CA"/>
        </w:rPr>
        <w:t>-t</w:t>
      </w:r>
      <w:r w:rsidRPr="009D4134">
        <w:rPr>
          <w:lang w:val="fr-CA"/>
        </w:rPr>
        <w:t>-il des normes, des politiques, des outils ou des plans stratégiques qui soulignent l’importance de l’équité dans le mandat de santé publique? (</w:t>
      </w:r>
      <w:r w:rsidR="00AB124A" w:rsidRPr="009D4134">
        <w:rPr>
          <w:lang w:val="fr-CA"/>
        </w:rPr>
        <w:t>p</w:t>
      </w:r>
      <w:r w:rsidRPr="009D4134">
        <w:rPr>
          <w:lang w:val="fr-CA"/>
        </w:rPr>
        <w:t>. ex.</w:t>
      </w:r>
      <w:r w:rsidR="006C5DA0" w:rsidRPr="009D4134">
        <w:rPr>
          <w:lang w:val="fr-CA"/>
        </w:rPr>
        <w:t>,</w:t>
      </w:r>
      <w:r w:rsidRPr="009D4134">
        <w:rPr>
          <w:lang w:val="fr-CA"/>
        </w:rPr>
        <w:t xml:space="preserve"> protocoles d’équité, normes de santé publique, outils d’évaluation de l’incidence de l’équité en santé, cadre des communautés en santé)</w:t>
      </w:r>
    </w:p>
    <w:p w14:paraId="578D4F70" w14:textId="77777777" w:rsidR="003E7929" w:rsidRPr="009D4134" w:rsidRDefault="003E7929" w:rsidP="003E7929">
      <w:pPr>
        <w:numPr>
          <w:ilvl w:val="0"/>
          <w:numId w:val="5"/>
        </w:numPr>
        <w:rPr>
          <w:lang w:val="fr-CA"/>
        </w:rPr>
      </w:pPr>
      <w:r w:rsidRPr="009D4134">
        <w:rPr>
          <w:lang w:val="fr-CA"/>
        </w:rPr>
        <w:lastRenderedPageBreak/>
        <w:t>Comment pourrait-on souligner le temps que les professionnels de la santé publique environnementale passent à travailler dans une perspective d’équité en santé et de DSS?</w:t>
      </w:r>
    </w:p>
    <w:p w14:paraId="632D5A05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Si un professionnel souhaite travailler dans cette optique, que peut-il faire? </w:t>
      </w:r>
    </w:p>
    <w:p w14:paraId="5DE365F4" w14:textId="750B336A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>Les professionnels ont-ils la possibilité de participer à des activités au sein de leur organisation pour soutenir ces efforts? (p. ex</w:t>
      </w:r>
      <w:r w:rsidR="006C5DA0" w:rsidRPr="009D4134">
        <w:rPr>
          <w:lang w:val="fr-CA"/>
        </w:rPr>
        <w:t>.,</w:t>
      </w:r>
      <w:r w:rsidRPr="009D4134">
        <w:rPr>
          <w:lang w:val="fr-CA"/>
        </w:rPr>
        <w:t xml:space="preserve"> évaluation de la performance, amélioration continue de la qualité, planification de programme)</w:t>
      </w:r>
    </w:p>
    <w:p w14:paraId="77CB304E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Est-ce que les efforts individuels peuvent être partagés/soulignés dans les réunions du personnel, les bulletins internes, etc.? </w:t>
      </w:r>
    </w:p>
    <w:p w14:paraId="49092B67" w14:textId="77777777" w:rsidR="003E7929" w:rsidRPr="009D4134" w:rsidRDefault="003E7929" w:rsidP="003E7929">
      <w:pPr>
        <w:numPr>
          <w:ilvl w:val="0"/>
          <w:numId w:val="5"/>
        </w:numPr>
        <w:rPr>
          <w:lang w:val="fr-CA"/>
        </w:rPr>
      </w:pPr>
      <w:r w:rsidRPr="009D4134">
        <w:rPr>
          <w:lang w:val="fr-CA"/>
        </w:rPr>
        <w:t>Quelle formation faciliterait l’application d’une perspective d’équité à la pratique?</w:t>
      </w:r>
    </w:p>
    <w:p w14:paraId="7FD2ED0D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Offre-t-on aux autres employés en santé publique des occasions de perfectionnement professionnel qui leur permettraient de soutenir les professionnels de la santé publique environnementale? </w:t>
      </w:r>
    </w:p>
    <w:p w14:paraId="59DCF55F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Où pouvez-vous trouver d’autres renseignements sur les déterminants sociaux de la santé et sur l’équité en santé? </w:t>
      </w:r>
    </w:p>
    <w:p w14:paraId="0CBE1BDA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Le concept d’équité en santé pourrait-il être présenté lors de réunions du personnel ou de séances de formation? </w:t>
      </w:r>
    </w:p>
    <w:p w14:paraId="743F219B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Comment pourrait-on décrire plus clairement le rôle des professionnels de la santé publique environnementale? </w:t>
      </w:r>
    </w:p>
    <w:p w14:paraId="34F925FB" w14:textId="77777777" w:rsidR="003E7929" w:rsidRPr="009D4134" w:rsidRDefault="003E7929" w:rsidP="003E7929">
      <w:pPr>
        <w:numPr>
          <w:ilvl w:val="0"/>
          <w:numId w:val="5"/>
        </w:numPr>
        <w:rPr>
          <w:lang w:val="fr-CA"/>
        </w:rPr>
      </w:pPr>
      <w:r w:rsidRPr="009D4134">
        <w:rPr>
          <w:lang w:val="fr-CA"/>
        </w:rPr>
        <w:t>Comment pourrait-on intégrer l’équité en santé et les DSS aux compétences de l’ICISP?</w:t>
      </w:r>
    </w:p>
    <w:p w14:paraId="5532CC99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Y aurait-il des occasions de modifier l’éducation et la formation des professionnels en santé publique environnementale? </w:t>
      </w:r>
    </w:p>
    <w:p w14:paraId="18DFEF30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Les déterminants sociaux de la santé pourraient-ils être intégrés aux stages des étudiants? </w:t>
      </w:r>
    </w:p>
    <w:p w14:paraId="61E7C39A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Comment les normes de formation pourraient-elles intégrer le concept d’équité en santé pour que les établissements d’enseignement et les formateurs s’intéressent à cette question? </w:t>
      </w:r>
    </w:p>
    <w:p w14:paraId="1347C982" w14:textId="12AA14FB" w:rsidR="003E7929" w:rsidRPr="009D4134" w:rsidRDefault="003E7929" w:rsidP="003E7929">
      <w:pPr>
        <w:numPr>
          <w:ilvl w:val="0"/>
          <w:numId w:val="5"/>
        </w:numPr>
        <w:rPr>
          <w:lang w:val="fr-CA"/>
        </w:rPr>
      </w:pPr>
      <w:r w:rsidRPr="009D4134">
        <w:rPr>
          <w:lang w:val="fr-CA"/>
        </w:rPr>
        <w:t>Quel soutien de la part des gestionnaires ou quelle</w:t>
      </w:r>
      <w:r w:rsidR="006C5DA0" w:rsidRPr="009D4134">
        <w:rPr>
          <w:lang w:val="fr-CA"/>
        </w:rPr>
        <w:t>s</w:t>
      </w:r>
      <w:r w:rsidRPr="009D4134">
        <w:rPr>
          <w:lang w:val="fr-CA"/>
        </w:rPr>
        <w:t xml:space="preserve"> politique</w:t>
      </w:r>
      <w:r w:rsidR="006C5DA0" w:rsidRPr="009D4134">
        <w:rPr>
          <w:lang w:val="fr-CA"/>
        </w:rPr>
        <w:t>s</w:t>
      </w:r>
      <w:r w:rsidRPr="009D4134">
        <w:rPr>
          <w:lang w:val="fr-CA"/>
        </w:rPr>
        <w:t xml:space="preserve"> contribuerai</w:t>
      </w:r>
      <w:r w:rsidR="006C5DA0" w:rsidRPr="009D4134">
        <w:rPr>
          <w:lang w:val="fr-CA"/>
        </w:rPr>
        <w:t>en</w:t>
      </w:r>
      <w:r w:rsidRPr="009D4134">
        <w:rPr>
          <w:lang w:val="fr-CA"/>
        </w:rPr>
        <w:t>t à l’intégration d’une optique d’équité à la pratique?</w:t>
      </w:r>
    </w:p>
    <w:p w14:paraId="440A3C8B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>Comment vos régions et vos bureaux de santé pourraient-ils soutenir le travail des professionnels de la santé publique environnementale à l’égard des déterminants sociaux de la santé et de l’équité en santé?</w:t>
      </w:r>
    </w:p>
    <w:p w14:paraId="57C182CD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>Comment les gestionnaires et les superviseurs de votre organisation pourraient-ils encadrer ce travail? Qu’en est-il de la direction?</w:t>
      </w:r>
    </w:p>
    <w:p w14:paraId="35C3D84D" w14:textId="77777777" w:rsidR="003E7929" w:rsidRPr="009D4134" w:rsidRDefault="003E7929" w:rsidP="003E7929">
      <w:pPr>
        <w:numPr>
          <w:ilvl w:val="1"/>
          <w:numId w:val="5"/>
        </w:numPr>
        <w:rPr>
          <w:lang w:val="fr-CA"/>
        </w:rPr>
      </w:pPr>
      <w:r w:rsidRPr="009D4134">
        <w:rPr>
          <w:lang w:val="fr-CA"/>
        </w:rPr>
        <w:t xml:space="preserve">Que devraient faire les gouvernements provinciaux pour soutenir ces efforts? Et le ministère de la Santé? </w:t>
      </w:r>
    </w:p>
    <w:p w14:paraId="3FCBC604" w14:textId="77777777" w:rsidR="00F66742" w:rsidRPr="009D4134" w:rsidRDefault="00B178F5">
      <w:pPr>
        <w:rPr>
          <w:lang w:val="fr-CA"/>
        </w:rPr>
      </w:pPr>
    </w:p>
    <w:sectPr w:rsidR="00F66742" w:rsidRPr="009D4134" w:rsidSect="0035117A">
      <w:footerReference w:type="default" r:id="rId1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F8E0" w14:textId="77777777" w:rsidR="00C07E2A" w:rsidRDefault="00C07E2A">
      <w:r>
        <w:separator/>
      </w:r>
    </w:p>
  </w:endnote>
  <w:endnote w:type="continuationSeparator" w:id="0">
    <w:p w14:paraId="73889B28" w14:textId="77777777" w:rsidR="00C07E2A" w:rsidRDefault="00C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211A" w14:textId="77777777" w:rsidR="0070307B" w:rsidRPr="009D4134" w:rsidRDefault="00E30FE8">
    <w:pPr>
      <w:pStyle w:val="Footer"/>
    </w:pPr>
    <w:proofErr w:type="gramStart"/>
    <w:r w:rsidRPr="009D4134">
      <w:t>VERSION :</w:t>
    </w:r>
    <w:proofErr w:type="gramEnd"/>
    <w:r w:rsidRPr="009D4134">
      <w:t xml:space="preserve"> 19 </w:t>
    </w:r>
    <w:proofErr w:type="spellStart"/>
    <w:r w:rsidRPr="009D4134">
      <w:t>novembre</w:t>
    </w:r>
    <w:proofErr w:type="spellEnd"/>
    <w:r w:rsidRPr="009D4134">
      <w:t> 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62AB" w14:textId="77777777" w:rsidR="00C07E2A" w:rsidRDefault="00C07E2A">
      <w:r>
        <w:separator/>
      </w:r>
    </w:p>
  </w:footnote>
  <w:footnote w:type="continuationSeparator" w:id="0">
    <w:p w14:paraId="470C5912" w14:textId="77777777" w:rsidR="00C07E2A" w:rsidRDefault="00C0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2F"/>
    <w:multiLevelType w:val="hybridMultilevel"/>
    <w:tmpl w:val="35E4F07E"/>
    <w:lvl w:ilvl="0" w:tplc="86F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C795C">
      <w:start w:val="1239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E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E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ED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64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C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EA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CA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791A"/>
    <w:multiLevelType w:val="hybridMultilevel"/>
    <w:tmpl w:val="404646B0"/>
    <w:lvl w:ilvl="0" w:tplc="B02AC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02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E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3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ED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0E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43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A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555"/>
    <w:multiLevelType w:val="hybridMultilevel"/>
    <w:tmpl w:val="5F40A9A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670F834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912A7596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918C5540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F1D89E0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00FE8CA6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7A82FBE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E67E15D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72C8E7C6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9B4AC5"/>
    <w:multiLevelType w:val="hybridMultilevel"/>
    <w:tmpl w:val="449679FA"/>
    <w:lvl w:ilvl="0" w:tplc="DE32D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AF932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AD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65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A6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07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CD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8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45747"/>
    <w:multiLevelType w:val="hybridMultilevel"/>
    <w:tmpl w:val="192E5028"/>
    <w:lvl w:ilvl="0" w:tplc="C11AB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8A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09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A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E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26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2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49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0C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18"/>
    <w:rsid w:val="00024736"/>
    <w:rsid w:val="00042B4C"/>
    <w:rsid w:val="00055D9B"/>
    <w:rsid w:val="00065553"/>
    <w:rsid w:val="000675B0"/>
    <w:rsid w:val="00083E30"/>
    <w:rsid w:val="000D67D1"/>
    <w:rsid w:val="000E0DCC"/>
    <w:rsid w:val="000E3665"/>
    <w:rsid w:val="00120FDD"/>
    <w:rsid w:val="001558CF"/>
    <w:rsid w:val="001633A4"/>
    <w:rsid w:val="00192C3B"/>
    <w:rsid w:val="001A3F98"/>
    <w:rsid w:val="001A5FD2"/>
    <w:rsid w:val="001B1CB1"/>
    <w:rsid w:val="001B4BB3"/>
    <w:rsid w:val="001E4206"/>
    <w:rsid w:val="001E5AB3"/>
    <w:rsid w:val="0021083B"/>
    <w:rsid w:val="00230226"/>
    <w:rsid w:val="002408EE"/>
    <w:rsid w:val="00262057"/>
    <w:rsid w:val="00291BAC"/>
    <w:rsid w:val="002A7C1F"/>
    <w:rsid w:val="002B12CA"/>
    <w:rsid w:val="002B372C"/>
    <w:rsid w:val="002B4E6B"/>
    <w:rsid w:val="002C2CFA"/>
    <w:rsid w:val="00314BE8"/>
    <w:rsid w:val="00324F2F"/>
    <w:rsid w:val="00327EEE"/>
    <w:rsid w:val="00330F5E"/>
    <w:rsid w:val="00341E0F"/>
    <w:rsid w:val="00356785"/>
    <w:rsid w:val="00361376"/>
    <w:rsid w:val="003D5356"/>
    <w:rsid w:val="003D6A7F"/>
    <w:rsid w:val="003E1C12"/>
    <w:rsid w:val="003E69B6"/>
    <w:rsid w:val="003E7929"/>
    <w:rsid w:val="003F5ED8"/>
    <w:rsid w:val="003F7BB1"/>
    <w:rsid w:val="004341B5"/>
    <w:rsid w:val="00441C18"/>
    <w:rsid w:val="004732BA"/>
    <w:rsid w:val="004A1915"/>
    <w:rsid w:val="004A6092"/>
    <w:rsid w:val="004B2FF9"/>
    <w:rsid w:val="004E37E3"/>
    <w:rsid w:val="004E3EF5"/>
    <w:rsid w:val="004F45DA"/>
    <w:rsid w:val="00511CF7"/>
    <w:rsid w:val="0052380C"/>
    <w:rsid w:val="00537C48"/>
    <w:rsid w:val="00542D54"/>
    <w:rsid w:val="0057224C"/>
    <w:rsid w:val="00583FCF"/>
    <w:rsid w:val="00584CF8"/>
    <w:rsid w:val="005A16A4"/>
    <w:rsid w:val="005A79E1"/>
    <w:rsid w:val="005D220F"/>
    <w:rsid w:val="005D553F"/>
    <w:rsid w:val="005E140E"/>
    <w:rsid w:val="005F2D1D"/>
    <w:rsid w:val="005F575E"/>
    <w:rsid w:val="005F6C53"/>
    <w:rsid w:val="005F6E24"/>
    <w:rsid w:val="0062194B"/>
    <w:rsid w:val="00634423"/>
    <w:rsid w:val="0067064B"/>
    <w:rsid w:val="00687743"/>
    <w:rsid w:val="00687B0E"/>
    <w:rsid w:val="006A2E5D"/>
    <w:rsid w:val="006C5DA0"/>
    <w:rsid w:val="006E1847"/>
    <w:rsid w:val="006F3653"/>
    <w:rsid w:val="007004F4"/>
    <w:rsid w:val="00751FD2"/>
    <w:rsid w:val="007740BD"/>
    <w:rsid w:val="007766D1"/>
    <w:rsid w:val="00777587"/>
    <w:rsid w:val="00792276"/>
    <w:rsid w:val="00794789"/>
    <w:rsid w:val="007B38A6"/>
    <w:rsid w:val="007E0437"/>
    <w:rsid w:val="007F0C51"/>
    <w:rsid w:val="00816194"/>
    <w:rsid w:val="008544CE"/>
    <w:rsid w:val="0086178D"/>
    <w:rsid w:val="00872970"/>
    <w:rsid w:val="00874AB3"/>
    <w:rsid w:val="00881AB7"/>
    <w:rsid w:val="008B2338"/>
    <w:rsid w:val="008C6A50"/>
    <w:rsid w:val="008D56BB"/>
    <w:rsid w:val="008E71F9"/>
    <w:rsid w:val="008E7591"/>
    <w:rsid w:val="008F0855"/>
    <w:rsid w:val="00923EF1"/>
    <w:rsid w:val="00924AC6"/>
    <w:rsid w:val="00935F39"/>
    <w:rsid w:val="009458D9"/>
    <w:rsid w:val="00990118"/>
    <w:rsid w:val="009A4D21"/>
    <w:rsid w:val="009B1E8E"/>
    <w:rsid w:val="009B5E49"/>
    <w:rsid w:val="009C437B"/>
    <w:rsid w:val="009C64EA"/>
    <w:rsid w:val="009D1B57"/>
    <w:rsid w:val="009D4134"/>
    <w:rsid w:val="009E12EF"/>
    <w:rsid w:val="009E6E9D"/>
    <w:rsid w:val="009E7524"/>
    <w:rsid w:val="00A14982"/>
    <w:rsid w:val="00A30AE0"/>
    <w:rsid w:val="00A4004A"/>
    <w:rsid w:val="00A55853"/>
    <w:rsid w:val="00A807FF"/>
    <w:rsid w:val="00A80EEE"/>
    <w:rsid w:val="00A845F8"/>
    <w:rsid w:val="00AB124A"/>
    <w:rsid w:val="00AD3DD7"/>
    <w:rsid w:val="00AF3468"/>
    <w:rsid w:val="00B026C4"/>
    <w:rsid w:val="00B178F5"/>
    <w:rsid w:val="00B538B1"/>
    <w:rsid w:val="00B55534"/>
    <w:rsid w:val="00B807FD"/>
    <w:rsid w:val="00BC627C"/>
    <w:rsid w:val="00BF6C42"/>
    <w:rsid w:val="00C05E93"/>
    <w:rsid w:val="00C07E2A"/>
    <w:rsid w:val="00C17E27"/>
    <w:rsid w:val="00C43446"/>
    <w:rsid w:val="00C458EF"/>
    <w:rsid w:val="00C56AC0"/>
    <w:rsid w:val="00C67966"/>
    <w:rsid w:val="00C70116"/>
    <w:rsid w:val="00C7042D"/>
    <w:rsid w:val="00C8594D"/>
    <w:rsid w:val="00C85E0D"/>
    <w:rsid w:val="00CB0C83"/>
    <w:rsid w:val="00CC048F"/>
    <w:rsid w:val="00CC2B99"/>
    <w:rsid w:val="00CD1894"/>
    <w:rsid w:val="00D214B4"/>
    <w:rsid w:val="00D23887"/>
    <w:rsid w:val="00D41CFD"/>
    <w:rsid w:val="00D54FCD"/>
    <w:rsid w:val="00D5532C"/>
    <w:rsid w:val="00D67700"/>
    <w:rsid w:val="00D725F2"/>
    <w:rsid w:val="00D72722"/>
    <w:rsid w:val="00D84144"/>
    <w:rsid w:val="00D8514C"/>
    <w:rsid w:val="00D92248"/>
    <w:rsid w:val="00D92EF4"/>
    <w:rsid w:val="00DA0417"/>
    <w:rsid w:val="00DB0700"/>
    <w:rsid w:val="00DC07E1"/>
    <w:rsid w:val="00DC5AE8"/>
    <w:rsid w:val="00DD576A"/>
    <w:rsid w:val="00E30FE8"/>
    <w:rsid w:val="00E41868"/>
    <w:rsid w:val="00E47080"/>
    <w:rsid w:val="00E6004C"/>
    <w:rsid w:val="00E61938"/>
    <w:rsid w:val="00E76BCC"/>
    <w:rsid w:val="00E80752"/>
    <w:rsid w:val="00E90ADE"/>
    <w:rsid w:val="00EA641E"/>
    <w:rsid w:val="00EB6B21"/>
    <w:rsid w:val="00EB78E9"/>
    <w:rsid w:val="00ED6931"/>
    <w:rsid w:val="00EF7A7C"/>
    <w:rsid w:val="00F03377"/>
    <w:rsid w:val="00F16EB7"/>
    <w:rsid w:val="00F27C40"/>
    <w:rsid w:val="00F86904"/>
    <w:rsid w:val="00FA5921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3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auGrille5Fonc-Accentuation31">
    <w:name w:val="Tableau Grille 5 Foncé - Accentuation 31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B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D35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01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44"/>
    <w:rPr>
      <w:rFonts w:ascii="Calibri" w:hAnsi="Calibri" w:cs="Calibri"/>
      <w:color w:val="auto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44"/>
    <w:rPr>
      <w:rFonts w:ascii="Calibri" w:hAnsi="Calibri" w:cs="Calibri"/>
      <w:b/>
      <w:bCs/>
      <w:color w:val="auto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4"/>
    <w:rPr>
      <w:rFonts w:ascii="Segoe UI" w:hAnsi="Segoe UI" w:cs="Segoe UI"/>
      <w:color w:val="auto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F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auGrille5Fonc-Accentuation31">
    <w:name w:val="Tableau Grille 5 Foncé - Accentuation 31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B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D35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01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44"/>
    <w:rPr>
      <w:rFonts w:ascii="Calibri" w:hAnsi="Calibri" w:cs="Calibri"/>
      <w:color w:val="auto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44"/>
    <w:rPr>
      <w:rFonts w:ascii="Calibri" w:hAnsi="Calibri" w:cs="Calibri"/>
      <w:b/>
      <w:bCs/>
      <w:color w:val="auto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4"/>
    <w:rPr>
      <w:rFonts w:ascii="Segoe UI" w:hAnsi="Segoe UI" w:cs="Segoe UI"/>
      <w:color w:val="auto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4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ccdc.ca/health-professionals/professional-resources/health-equity-worksh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ccdc.ca/health-professionals/professional-resources/health-equity-worksh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cdc.ca/health-professionals/professional-resources/health-equity-environ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BCCDC-1957235667-335</_dlc_DocId>
    <_dlc_DocIdUrl xmlns="2a1cf95e-a2cb-4d0f-9c16-7db7b13007cf">
      <Url>https://editbccdc.phsa.ca/pop-public-health/_layouts/15/DocIdRedir.aspx?ID=BCCDC-1957235667-335</Url>
      <Description>BCCDC-1957235667-335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5D239-1A5F-4324-97AC-49A8A3634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D9DE8-41BD-48EB-8EEB-BB02D4625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5BD9-0A67-4D05-8754-CCAFABF1FCD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a1cf95e-a2cb-4d0f-9c16-7db7b13007cf"/>
    <ds:schemaRef ds:uri="4de64c37-ebdf-406a-9f1b-af099cf715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323D6A-A03E-4506-B308-83FA0E89E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f95e-a2cb-4d0f-9c16-7db7b13007cf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Shared Services BC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Rideout</dc:creator>
  <cp:lastModifiedBy>Bonamis, Linda</cp:lastModifiedBy>
  <cp:revision>2</cp:revision>
  <dcterms:created xsi:type="dcterms:W3CDTF">2019-01-16T17:28:00Z</dcterms:created>
  <dcterms:modified xsi:type="dcterms:W3CDTF">2019-01-16T17:28:00Z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fc9bb355-777c-4dd5-a53a-7057768087d6</vt:lpwstr>
  </property>
</Properties>
</file>